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县委党史研究室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5A4E519C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2020-02-13T07:27:04Z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