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廊坊市生态环境局大城县分局本级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w:t>
      </w: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廊坊市环境保护局大城县分局本级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负责本辖区重大生态环境问题的统筹协调和监督管理。牵头协调本辖区重特大环境污染事故和生态破坏事件的调查处理，协助大城县政府做好重特大突发生态环境事件的应急、预警工作，牵头指导实施生态环境损害赔偿制度，协调解决有关跨区域环境污染纠纷，统筹协调本辖区重点区域、流域生态环境保护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负责监督管理本辖区减排目标的落实。组织落实本辖区陆地各类污染物排放总量控制、排污许可证制度并实施监督,确定本地区大气、水等纳污能力,提出本辖区实施总量控制的污染物名称和控制指标,监督检查本辖区污染物减排任务完成情况,实施生态环境保护目标责任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负责提出生态环境领域固定资产投资规模和方向、本级财政性资金安排的意见,按大城县政府规定权限审批、核准本辖区规划内和年度计划规模内固定资产投资项目，配合有关部门做好组织实施和监督工作；参与指导推动本辖区循环经济和生态环保产业发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负责本辖区生态环境准入的监督管理。受大城县政府委托对重大经济和技术政策、发展规划以及重大经济开发计划进行环境影响评价。按国家和省、市规定审批或审查重大开发建设区域、规划、项目环境影响评价文件。组织实施生态环境准入清单。</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九）负责本辖区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负责本辖区应对气候变化工作。组织拟订本辖区应对气候变化及温室气体减排规划和政策。与有关部门共同牵头组织参加气候变化国际谈判本辖区相关工作。负责履行联合国气候变化框架公约本地区相关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（十三）开展生态环境对外合作交流，研究提出本辖区生态环境合作中有关问题的建议，组织协调有关生态环境国际条约的本辖区履约工作，参与处理涉外生态环境事务。</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（十四）完成廊坊市生态环境局和大城县委、县政府交办的其他任务。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廊坊市生态环境局大城县分局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724.98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199.11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w:t>
      </w:r>
      <w:bookmarkStart w:id="2" w:name="_GoBack"/>
      <w:bookmarkEnd w:id="2"/>
      <w:r>
        <w:rPr>
          <w:rFonts w:ascii="Times New Roman" w:hAnsi="Times New Roman" w:eastAsia="仿宋_GB2312" w:cs="Times New Roman"/>
          <w:sz w:val="32"/>
          <w:szCs w:val="32"/>
        </w:rPr>
        <w:t>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2022年中央大气污染防治资金－大城县经济开发区协同控制站建设资金、</w:t>
      </w:r>
      <w:r>
        <w:rPr>
          <w:rFonts w:hint="eastAsia" w:ascii="Times New Roman" w:hAnsi="Times New Roman" w:eastAsia="仿宋_GB2312" w:cs="Times New Roman"/>
          <w:sz w:val="32"/>
          <w:szCs w:val="32"/>
        </w:rPr>
        <w:t>2023年劳务派遣人员专项经费-人员专项项目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2023年中央土壤污染防治资金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924.09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18.99</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，其中</w:t>
      </w:r>
      <w:r>
        <w:rPr>
          <w:rFonts w:ascii="Times New Roman" w:hAnsi="Times New Roman" w:eastAsia="仿宋_GB2312" w:cs="Times New Roman"/>
          <w:sz w:val="32"/>
          <w:szCs w:val="32"/>
          <w:highlight w:val="none"/>
        </w:rPr>
        <w:t>：基本支出减少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万元；项目支出减少</w:t>
      </w:r>
      <w:r>
        <w:rPr>
          <w:rFonts w:hint="eastAsia" w:ascii="Times New Roman" w:hAnsi="Times New Roman" w:eastAsia="仿宋_GB2312" w:cs="Times New Roman"/>
          <w:sz w:val="32"/>
          <w:szCs w:val="32"/>
          <w:highlight w:val="none"/>
          <w:lang w:val="en-US" w:eastAsia="zh-CN"/>
        </w:rPr>
        <w:t>18.99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2023年劳务派遣人员专项经费-人员专项</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w:t>
      </w:r>
      <w:r>
        <w:rPr>
          <w:rFonts w:hint="eastAsia" w:ascii="Times New Roman" w:hAnsi="Times New Roman" w:eastAsia="仿宋_GB2312" w:cs="Times New Roman"/>
          <w:sz w:val="32"/>
          <w:szCs w:val="32"/>
          <w:lang w:eastAsia="zh-CN"/>
        </w:rPr>
        <w:t>环保</w:t>
      </w:r>
      <w:r>
        <w:rPr>
          <w:rFonts w:hint="eastAsia" w:ascii="Times New Roman" w:hAnsi="Times New Roman" w:eastAsia="仿宋_GB2312" w:cs="Times New Roman"/>
          <w:sz w:val="32"/>
          <w:szCs w:val="32"/>
        </w:rPr>
        <w:t>机构改革我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的机关运行经费列入市级预算，县级预算中不再包含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lang w:eastAsia="zh-CN"/>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w:t>
      </w:r>
      <w:r>
        <w:rPr>
          <w:rFonts w:ascii="Times New Roman" w:hAnsi="Times New Roman" w:eastAsia="仿宋_GB2312" w:cs="Times New Roman"/>
          <w:sz w:val="32"/>
          <w:szCs w:val="32"/>
          <w:highlight w:val="none"/>
        </w:rPr>
        <w:t>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val="en-US" w:eastAsia="zh-CN"/>
        </w:rPr>
        <w:t>2023年</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rPr>
        <w:t>列入市级预算，县级预算中不再包含</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公务接待</w:t>
      </w:r>
      <w:r>
        <w:rPr>
          <w:rFonts w:hint="eastAsia" w:ascii="Times New Roman" w:hAnsi="Times New Roman" w:eastAsia="仿宋_GB2312" w:cs="Times New Roman"/>
          <w:sz w:val="32"/>
          <w:szCs w:val="32"/>
        </w:rPr>
        <w:t>费列入市级预算，县级预算中不再包含</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以习近平生态文明思想为指导，认真贯彻落实中央、省、市决策部署，全面落实最严格的生态环境保护制度，坚持方向不变、力度不减、信心不动摇，突出精准治污、科学治污、依法治污，聚焦创优争先，坚决打赢污染防治攻坚战，为建设美丽大城作出新的贡献。2023年力争全县空气环境质量持续改善，优良天数比率达到60%，子牙河水功能区小河闸考核断面水质达到地表水Ⅳ类标准，保持我县地表水环境质量考核点位水质稳定，人民幸福感持续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（1）大气污染防治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持续开展大气污染防治综合治理，深入开展企业排查整治、扬尘污染治理、移动源管控、“散乱污”企业整治、餐饮油烟治理、秸秆禁烧、散煤禁燃、鞭炮禁放、重污染天气应急管控等攻坚行动，圆满完成年度大气指标考核任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绩效指标：主要包括优良天数比率≥60%等。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（2）水污染防治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绩效目标：全面推进地表水环境综合整治，加强饮用水水源地环境保护，持续实施工业污染防治，完善污水收集处理设施，强化入河排污口管控措施。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绩效指标：主要包括水功能区水质达到地表水Ⅳ类标准等。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（3）土壤污染防治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绩效目标：加快推进农村黑臭水体排查整治工作，动态更新疑似污染地块名单，严格建设用地土壤污染风险管控。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绩效指标：主要包括有效改善土壤周边环境、保持土壤环境稳定、重点建设用地安全利用率达到100%等。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（4）生态环境监测</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绩效目标：完成全县各环境要素的监测，完成环境数据的综合分析，环境应急监测。维护好全县空气自动站的运行。</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绩效指标：主要包括水环境监测完成率、空气自动站正常运行率等。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（5）环保综合事务管理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绩效目标：通过聘用劳务派遣人员，辅助在编人员完成各项工作要求，提高工作效率。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绩效指标：加强工作人员归属感达到100%。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强化组织保障，加强领导推动，突出工作重点。成立了由局长张庆华为组长，局领导班子成员为副组长的预算绩效管理工作领导小组，保障我局2023年度预算执行全过程的监督管理。从领导部署、股长带动、下属执行等三个方面，将预算绩效管理工作形成无缝对接，避免欠沟通、少沟通、不沟通的情况发生。多部门联动合作，由财务科牵头，办公室、督查办及各业务科室等全面配合，覆盖预算绩效管理工作的初编制、中执行、后评价的全过程。</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完善制度建设，加强支出管理与绩效运行监控，做好绩效自评工作。完善预算绩效管理制度、资金管理办法等，为全年预算绩效目标的实现奠定制度基础。通过优化支出结构、编细编实预算、加快履行政府采购手续、尽快启动项目、及时支付资金等多种措施，确保支出进度达标。按要求开展绩效运行监控，发现问题及时采取措施，确保绩效目标如期保质实现。并且，开展上年度部门整体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规范财务资产管理，加强内部监督。完善财务管理制度，严格审批程序，加强固定资产登记、使用和报废处理管理，做到支出合理，物尽其用。加强内部监督制度建设，对绩效运行情况、重大支出决策、资产处置及其他重要经济业务事项的决策和执行进行督导，并配合做好审计、财政监督等外部监督工作，确保财政资金安全有效。加强人员培训，提高本部门职工业务素质，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项目完成数量</w:t>
            </w:r>
          </w:p>
        </w:tc>
        <w:tc>
          <w:tcPr>
            <w:tcW w:w="2172"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每减少1项，扣数量分值的5%</w:t>
            </w:r>
          </w:p>
        </w:tc>
        <w:tc>
          <w:tcPr>
            <w:tcW w:w="1483"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2023年项目完成数量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3</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水功能区水质达到标准</w:t>
            </w:r>
          </w:p>
        </w:tc>
        <w:tc>
          <w:tcPr>
            <w:tcW w:w="2172"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未达到标准扣质量分值的10%</w:t>
            </w:r>
          </w:p>
        </w:tc>
        <w:tc>
          <w:tcPr>
            <w:tcW w:w="1483"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反映水</w:t>
            </w:r>
            <w:r>
              <w:rPr>
                <w:rFonts w:hint="eastAsia" w:ascii="方正书宋_GBK" w:eastAsia="方正书宋_GBK"/>
                <w:lang w:val="en-US" w:eastAsia="zh-CN"/>
              </w:rPr>
              <w:t>功能区</w:t>
            </w:r>
            <w:r>
              <w:rPr>
                <w:rFonts w:hint="default" w:ascii="方正书宋_GBK" w:eastAsia="方正书宋_GBK"/>
                <w:lang w:val="en-US" w:eastAsia="zh-CN"/>
              </w:rPr>
              <w:t>质考核达标情况</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地表水Ⅳ类标准</w:t>
            </w:r>
          </w:p>
        </w:tc>
        <w:tc>
          <w:tcPr>
            <w:tcW w:w="1277"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项目完成及时性</w:t>
            </w:r>
          </w:p>
        </w:tc>
        <w:tc>
          <w:tcPr>
            <w:tcW w:w="2172"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每出现1个项目未及时完成，</w:t>
            </w:r>
            <w:r>
              <w:rPr>
                <w:rFonts w:hint="default" w:ascii="方正书宋_GBK" w:eastAsia="方正书宋_GBK"/>
                <w:lang w:val="en-US" w:eastAsia="zh-CN"/>
              </w:rPr>
              <w:t>扣时效指标分值的</w:t>
            </w:r>
            <w:r>
              <w:rPr>
                <w:rFonts w:hint="eastAsia" w:ascii="方正书宋_GBK" w:eastAsia="方正书宋_GBK"/>
                <w:lang w:val="en-US" w:eastAsia="zh-CN"/>
              </w:rPr>
              <w:t>5</w:t>
            </w:r>
            <w:r>
              <w:rPr>
                <w:rFonts w:hint="default" w:ascii="方正书宋_GBK" w:eastAsia="方正书宋_GBK"/>
                <w:lang w:val="en-US" w:eastAsia="zh-CN"/>
              </w:rPr>
              <w:t>%</w:t>
            </w:r>
          </w:p>
        </w:tc>
        <w:tc>
          <w:tcPr>
            <w:tcW w:w="148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反映项目完成及时情况</w:t>
            </w:r>
          </w:p>
        </w:tc>
        <w:tc>
          <w:tcPr>
            <w:tcW w:w="54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文字描述</w:t>
            </w:r>
          </w:p>
        </w:tc>
        <w:tc>
          <w:tcPr>
            <w:tcW w:w="488"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p>
        </w:tc>
        <w:tc>
          <w:tcPr>
            <w:tcW w:w="57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及时</w:t>
            </w:r>
          </w:p>
        </w:tc>
        <w:tc>
          <w:tcPr>
            <w:tcW w:w="1277"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成本控制</w:t>
            </w:r>
          </w:p>
        </w:tc>
        <w:tc>
          <w:tcPr>
            <w:tcW w:w="2172"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每超过成本1万元，扣成本指标分值的1%</w:t>
            </w:r>
          </w:p>
        </w:tc>
        <w:tc>
          <w:tcPr>
            <w:tcW w:w="148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用以反映成本的控制情况</w:t>
            </w:r>
          </w:p>
        </w:tc>
        <w:tc>
          <w:tcPr>
            <w:tcW w:w="54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924.09</w:t>
            </w:r>
          </w:p>
        </w:tc>
        <w:tc>
          <w:tcPr>
            <w:tcW w:w="57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年初预算批复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生态</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优良天数比率</w:t>
            </w:r>
          </w:p>
        </w:tc>
        <w:tc>
          <w:tcPr>
            <w:tcW w:w="2172"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每降低1%，扣生态效益分值的</w:t>
            </w:r>
            <w:r>
              <w:rPr>
                <w:rFonts w:hint="eastAsia" w:ascii="方正书宋_GBK" w:eastAsia="方正书宋_GBK"/>
                <w:lang w:val="en-US" w:eastAsia="zh-CN"/>
              </w:rPr>
              <w:t>1</w:t>
            </w:r>
            <w:r>
              <w:rPr>
                <w:rFonts w:hint="default" w:ascii="方正书宋_GBK" w:eastAsia="方正书宋_GBK"/>
                <w:lang w:val="en-US" w:eastAsia="zh-CN"/>
              </w:rPr>
              <w:t>%</w:t>
            </w:r>
          </w:p>
        </w:tc>
        <w:tc>
          <w:tcPr>
            <w:tcW w:w="148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空气质量为优良的天数占全年总天数的比例</w:t>
            </w:r>
          </w:p>
        </w:tc>
        <w:tc>
          <w:tcPr>
            <w:tcW w:w="54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60</w:t>
            </w:r>
          </w:p>
        </w:tc>
        <w:tc>
          <w:tcPr>
            <w:tcW w:w="57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空气自动站正常运行率</w:t>
            </w:r>
          </w:p>
        </w:tc>
        <w:tc>
          <w:tcPr>
            <w:tcW w:w="2172" w:type="dxa"/>
            <w:tcBorders>
              <w:tl2br w:val="nil"/>
              <w:tr2bl w:val="nil"/>
            </w:tcBorders>
            <w:noWrap/>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每降低1%，扣</w:t>
            </w:r>
            <w:r>
              <w:rPr>
                <w:rFonts w:hint="eastAsia" w:ascii="方正书宋_GBK" w:eastAsia="方正书宋_GBK"/>
                <w:lang w:val="en-US" w:eastAsia="zh-CN"/>
              </w:rPr>
              <w:t>可持续影响</w:t>
            </w:r>
            <w:r>
              <w:rPr>
                <w:rFonts w:hint="default" w:ascii="方正书宋_GBK" w:eastAsia="方正书宋_GBK"/>
                <w:lang w:val="en-US" w:eastAsia="zh-CN"/>
              </w:rPr>
              <w:t>分值的</w:t>
            </w:r>
            <w:r>
              <w:rPr>
                <w:rFonts w:hint="eastAsia" w:ascii="方正书宋_GBK" w:eastAsia="方正书宋_GBK"/>
                <w:lang w:val="en-US" w:eastAsia="zh-CN"/>
              </w:rPr>
              <w:t>1</w:t>
            </w:r>
            <w:r>
              <w:rPr>
                <w:rFonts w:hint="default" w:ascii="方正书宋_GBK" w:eastAsia="方正书宋_GBK"/>
                <w:lang w:val="en-US" w:eastAsia="zh-CN"/>
              </w:rPr>
              <w:t>%</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反映空气自动站正常运行情况</w:t>
            </w:r>
          </w:p>
        </w:tc>
        <w:tc>
          <w:tcPr>
            <w:tcW w:w="543"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受益对象满意度</w:t>
            </w:r>
          </w:p>
        </w:tc>
        <w:tc>
          <w:tcPr>
            <w:tcW w:w="2172" w:type="dxa"/>
            <w:tcBorders>
              <w:tl2br w:val="nil"/>
              <w:tr2bl w:val="nil"/>
            </w:tcBorders>
            <w:noWrap/>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每降低10%，扣满意度分值的10%</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相关受益群体满意度</w:t>
            </w:r>
          </w:p>
        </w:tc>
        <w:tc>
          <w:tcPr>
            <w:tcW w:w="54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90</w:t>
            </w:r>
          </w:p>
        </w:tc>
        <w:tc>
          <w:tcPr>
            <w:tcW w:w="573"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eastAsia" w:ascii="方正书宋_GBK" w:eastAsia="方正书宋_GBK" w:hAnsiTheme="minorHAnsi" w:cstheme="minorBidi"/>
                <w:kern w:val="2"/>
                <w:sz w:val="21"/>
                <w:szCs w:val="22"/>
                <w:lang w:val="en-US" w:eastAsia="zh-CN" w:bidi="ar-SA"/>
              </w:rPr>
            </w:pPr>
            <w:r>
              <w:rPr>
                <w:rFonts w:hint="default"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2022年中央大气污染防治资金－大城县经济开发区协同控制站建设资金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2055"/>
        <w:gridCol w:w="3075"/>
        <w:gridCol w:w="1455"/>
        <w:gridCol w:w="4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1、通过实施该项目，能够进一步完善我县细颗粒物与臭氧协同监测网络，形成多污染物协同监测和污染源专项监测双驱动，为大气污染防治决策提供科技支撑。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0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监测设备数量</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反映监测设备购置数量</w:t>
            </w:r>
          </w:p>
        </w:tc>
        <w:tc>
          <w:tcPr>
            <w:tcW w:w="14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default" w:ascii="Arial" w:hAnsi="Arial" w:eastAsia="仿宋_GB2312" w:cs="Arial"/>
                <w:lang w:eastAsia="zh-CN"/>
              </w:rPr>
              <w:t>≥</w:t>
            </w:r>
            <w:r>
              <w:rPr>
                <w:rFonts w:hint="eastAsia" w:ascii="Times New Roman" w:hAnsi="Times New Roman" w:eastAsia="仿宋_GB2312" w:cs="Times New Roman"/>
                <w:lang w:val="en-US" w:eastAsia="zh-CN"/>
              </w:rPr>
              <w:t>4套</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《关于加快完成工业园区协同控制站建设工作的通知》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设备验收合格率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反映设备验收情况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按照《廊坊市生态环境局致全市涉挥发性有机物排放企业的一封公开信》要求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工作完成的时效</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反映工作完成的时效</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12月底</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反映该项目中央资金支持成本控制情况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≤192万元</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监测数据传输效率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反映监测数据传输情况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≥95%</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jc w:val="center"/>
        </w:trPr>
        <w:tc>
          <w:tcPr>
            <w:tcW w:w="127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改善生态环境质量</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反映改善生态环境质量情况</w:t>
            </w:r>
          </w:p>
        </w:tc>
        <w:tc>
          <w:tcPr>
            <w:tcW w:w="14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w:t>
            </w:r>
          </w:p>
        </w:tc>
        <w:tc>
          <w:tcPr>
            <w:tcW w:w="408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市局通报监测数据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w:t>
            </w:r>
          </w:p>
        </w:tc>
        <w:tc>
          <w:tcPr>
            <w:tcW w:w="307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反映服务对象的满意程度</w:t>
            </w:r>
          </w:p>
        </w:tc>
        <w:tc>
          <w:tcPr>
            <w:tcW w:w="14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≥95%</w:t>
            </w:r>
          </w:p>
        </w:tc>
        <w:tc>
          <w:tcPr>
            <w:tcW w:w="4083"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调查问卷</w:t>
            </w:r>
          </w:p>
        </w:tc>
      </w:tr>
    </w:tbl>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2.2022年中央大气污染防治资金-砖瓦窑超低排放改造补助资金绩效目标表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60"/>
        <w:gridCol w:w="322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1.减少了大气污染物（颗粒物、二氧化硫）排放，改善环境空气质量。</w:t>
            </w:r>
          </w:p>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2.通过2021年对大城县鑫磊新型墙体材料有限公司、廊坊喆睿新型建材有限公司2家单位砖瓦窑深度治理技术改造发放补贴资金，减少2家单位污染物（颗粒物、二氧化硫）排放，强化企业减排效果，长期、持续改善企业减排状况，改善环境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2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安装湿式静电除尘器设备数量</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砖瓦窑深度治理技术改造安装几套湿式静电除尘器设备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2套</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安装湿式静电除尘器设备数量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安装脱硫塔数量</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砖瓦窑深度治理技术改造安装几套脱硫塔</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1套</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安装脱硫塔数量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砖瓦窑深度治理技术改造合格率</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2家单位砖瓦窑深度治理技术改造验收合格率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砖瓦窑深度治理技术改造合格率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2022年内完成</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项目成本控制数</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反映总成本的控制情况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≤476万元</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补贴发放率</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砖瓦窑超低排放改造补助资金发放率</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砖瓦窑超低排放改造补助资金发放率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环境空气质量是否改善</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反映环境空气质量改善情况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持续减少企业污染物排放</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强化企业减排效果，改善企业减排状况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长期、持续</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322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受益群体满意度</w:t>
            </w:r>
          </w:p>
        </w:tc>
        <w:tc>
          <w:tcPr>
            <w:tcW w:w="340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收益群体满意情况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实际调查</w:t>
            </w:r>
          </w:p>
        </w:tc>
      </w:tr>
    </w:tbl>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2023年劳务派遣人员专项经费-人员专项项目绩效目标表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1770"/>
        <w:gridCol w:w="5025"/>
        <w:gridCol w:w="1725"/>
        <w:gridCol w:w="2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1.当前环保工作繁重，多年未进人员，为缓解工作压力，特申请县政府批准招聘一批劳务派遣人员，辅助在编人员完成各项工作要求，提高工作效率。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聘用人数</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保障聘用劳务派遣人数符合标准</w:t>
            </w:r>
          </w:p>
        </w:tc>
        <w:tc>
          <w:tcPr>
            <w:tcW w:w="172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≤69人</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工资等发放精准性</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工资福利等发放人员范围的精准性和发放数据的准确性</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工资发放及时性</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工资发放的时效情况</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工资、保险等发放标准</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工资、保险等是否按标准发放</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≤274.98万元按标准发放</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根据河北省最低工资标准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加强工作人员归属感</w:t>
            </w:r>
          </w:p>
        </w:tc>
        <w:tc>
          <w:tcPr>
            <w:tcW w:w="50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通过按时按标准发放工资福利等，进一步增强派遣人员得归属感，保持队伍相对稳定，保障办公正常运转</w:t>
            </w:r>
          </w:p>
        </w:tc>
        <w:tc>
          <w:tcPr>
            <w:tcW w:w="172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1770"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被聘人员满意率</w:t>
            </w:r>
          </w:p>
        </w:tc>
        <w:tc>
          <w:tcPr>
            <w:tcW w:w="502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反映被聘人员的满意度情况。</w:t>
            </w:r>
          </w:p>
        </w:tc>
        <w:tc>
          <w:tcPr>
            <w:tcW w:w="172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≥90%</w:t>
            </w:r>
          </w:p>
        </w:tc>
        <w:tc>
          <w:tcPr>
            <w:tcW w:w="2148"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2023年中央土壤污染防治资金绩效目标表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2115"/>
        <w:gridCol w:w="2055"/>
        <w:gridCol w:w="3075"/>
        <w:gridCol w:w="1635"/>
        <w:gridCol w:w="3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8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1.通过项目开展，减少有害物质进入土壤，从源头防控土壤污染。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污水站设备升级改造工程</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反映污水站设备升级改造工程数量</w:t>
            </w:r>
          </w:p>
        </w:tc>
        <w:tc>
          <w:tcPr>
            <w:tcW w:w="163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1个</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设备升级改造可研报告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设备稳定运行率</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反映设备是否正常运行</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≥95%</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设备升级改造可研报告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项目完成时间</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反映项目是否按时完成</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2023年10月底</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项目支持资金</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反映中央资金支持情况</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450万元</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冀财资环【2022】106号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有效改善土壤周边环境</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反映土壤周边环境改善程度</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有效改善</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jc w:val="center"/>
        </w:trPr>
        <w:tc>
          <w:tcPr>
            <w:tcW w:w="1279" w:type="dxa"/>
            <w:vMerge w:val="continue"/>
            <w:shd w:val="clear" w:color="auto" w:fill="auto"/>
            <w:vAlign w:val="center"/>
          </w:tcPr>
          <w:p>
            <w:pPr>
              <w:spacing w:line="584" w:lineRule="exact"/>
              <w:jc w:val="center"/>
              <w:rPr>
                <w:rFonts w:hint="eastAsia" w:ascii="Times New Roman" w:hAnsi="Times New Roman" w:eastAsia="仿宋_GB2312" w:cs="Times New Roman"/>
                <w:lang w:eastAsia="zh-CN"/>
              </w:rPr>
            </w:pPr>
          </w:p>
        </w:tc>
        <w:tc>
          <w:tcPr>
            <w:tcW w:w="211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保持土壤环境稳定</w:t>
            </w:r>
          </w:p>
        </w:tc>
        <w:tc>
          <w:tcPr>
            <w:tcW w:w="307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反映土壤环境稳定情况</w:t>
            </w:r>
          </w:p>
        </w:tc>
        <w:tc>
          <w:tcPr>
            <w:tcW w:w="163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有效保持</w:t>
            </w:r>
          </w:p>
        </w:tc>
        <w:tc>
          <w:tcPr>
            <w:tcW w:w="390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土壤环境自行监测报告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服务对象满意度指标</w:t>
            </w:r>
          </w:p>
        </w:tc>
        <w:tc>
          <w:tcPr>
            <w:tcW w:w="205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群众满意度</w:t>
            </w:r>
          </w:p>
        </w:tc>
        <w:tc>
          <w:tcPr>
            <w:tcW w:w="307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反映群众满意程度</w:t>
            </w:r>
          </w:p>
        </w:tc>
        <w:tc>
          <w:tcPr>
            <w:tcW w:w="1635"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≥90%</w:t>
            </w:r>
          </w:p>
        </w:tc>
        <w:tc>
          <w:tcPr>
            <w:tcW w:w="3903" w:type="dxa"/>
            <w:shd w:val="clear" w:color="auto" w:fill="auto"/>
            <w:vAlign w:val="center"/>
          </w:tcPr>
          <w:p>
            <w:pPr>
              <w:spacing w:line="584"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rPr>
          <w:rFonts w:hint="eastAsia"/>
          <w:lang w:eastAsia="zh-CN"/>
        </w:rPr>
        <w:t>廊坊市生态环境局大城县分局本级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630" w:firstLineChars="300"/>
        <w:rPr>
          <w:rFonts w:ascii="Times New Roman" w:hAnsi="黑体" w:eastAsia="黑体" w:cs="Times New Roman"/>
          <w:sz w:val="32"/>
          <w:szCs w:val="32"/>
        </w:rPr>
      </w:pPr>
      <w:r>
        <w:rPr>
          <w:rFonts w:hint="eastAsia" w:ascii="方正仿宋_GBK" w:hAnsi="方正仿宋_GBK" w:eastAsia="方正仿宋_GBK" w:cs="方正仿宋_GBK"/>
          <w:color w:val="000000"/>
          <w:lang w:val="en-US" w:eastAsia="zh-CN"/>
        </w:rPr>
        <w:t xml:space="preserve">  我单位2023年未批复政府采购预算，以空表列示。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廊坊市生态环境局大城县分局本级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1848.28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192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VOCs监测仪、PM2.5等常规六参数自动监测仪、非甲烷总烃自动监测仪、气象</w:t>
      </w:r>
      <w:r>
        <w:rPr>
          <w:rFonts w:hint="eastAsia" w:ascii="Times New Roman" w:hAnsi="Times New Roman" w:eastAsia="仿宋_GB2312" w:cs="Times New Roman"/>
          <w:color w:val="auto"/>
          <w:sz w:val="32"/>
          <w:szCs w:val="32"/>
          <w:lang w:val="en-US" w:eastAsia="zh-CN"/>
        </w:rPr>
        <w:t>五参数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廊坊市生态环境局大城县</w:t>
            </w:r>
            <w:r>
              <w:rPr>
                <w:rFonts w:hint="eastAsia" w:ascii="Times New Roman" w:hAnsi="Times New Roman" w:eastAsia="仿宋_GB2312" w:cs="Times New Roman"/>
                <w:kern w:val="0"/>
                <w:sz w:val="22"/>
                <w:lang w:eastAsia="zh-CN"/>
              </w:rPr>
              <w:t>分局本级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1848.28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342.24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941.76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1NjdiYjJlOWExMTJmMTI5Y2NmMzVmYWYwNGZhOD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0667670"/>
    <w:rsid w:val="13E306DA"/>
    <w:rsid w:val="1B1D7A72"/>
    <w:rsid w:val="1B6E4190"/>
    <w:rsid w:val="1C502F39"/>
    <w:rsid w:val="266F5DFF"/>
    <w:rsid w:val="38F17E51"/>
    <w:rsid w:val="3E8B454E"/>
    <w:rsid w:val="3F655022"/>
    <w:rsid w:val="55440103"/>
    <w:rsid w:val="57E040E2"/>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7266</Words>
  <Characters>7541</Characters>
  <Lines>35</Lines>
  <Paragraphs>10</Paragraphs>
  <TotalTime>11</TotalTime>
  <ScaleCrop>false</ScaleCrop>
  <LinksUpToDate>false</LinksUpToDate>
  <CharactersWithSpaces>7669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安</cp:lastModifiedBy>
  <cp:lastPrinted>2023-01-29T01:01:00Z</cp:lastPrinted>
  <dcterms:modified xsi:type="dcterms:W3CDTF">2023-03-21T02:36:35Z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