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hint="eastAsia" w:ascii="Times New Roman" w:hAnsi="Times New Roman" w:eastAsia="方正小标宋简体" w:cs="Times New Roman"/>
          <w:sz w:val="44"/>
          <w:szCs w:val="44"/>
          <w:lang w:eastAsia="zh-CN"/>
        </w:rPr>
      </w:pPr>
      <w:r>
        <w:rPr>
          <w:rFonts w:hint="eastAsia" w:ascii="Times New Roman" w:hAnsi="Times New Roman" w:eastAsia="方正小标宋简体" w:cs="Times New Roman"/>
          <w:sz w:val="44"/>
          <w:szCs w:val="44"/>
          <w:lang w:eastAsia="zh-CN"/>
        </w:rPr>
        <w:t>中共大城县委网络安全和信息化委员会办公室</w:t>
      </w: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中共大城县委网络安全和信息化委员会办公室</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spacing w:line="584" w:lineRule="exact"/>
        <w:ind w:firstLine="6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负责处理县委网络安全和信息化委员会日常事务工作；组织研究起草我县网络安全和信息化发展战略、宏观规划和重大政策；统筹协调全县网络安全保障体系和可信体系建设；督促落实我县涉及政治、经济、文化、社会、生态及军事等各个领域的网络安全和信息化重大事项；负责协调处理网络安全和信息化重大突发事件与有关应急工作；负责全县互联网信息内容管理；负责指导协调全县网络舆情工作；推动全县网络阵地建设和重点新闻网站规划建设；推动全县网络社会工作和网络文化、网络文明建设；发展、联系、服务网络社会组织，指导互联网行业自律，推进网站党建工作；落实互联网信息服务资本准入和信息网络行业安全审查的有关政策；协调推进全县信息网络行业自主创新和发展；规划指导县内机构开展金融信息服务业务；组织拟订网络安全和信息化干部人才队伍发展规划，组织开展网信系统干部教育培训和人才队伍建设，规划指导全县互联网新闻信息服务从业人员教育培训和考评工作，组织开展网络媒介素养教育；组织开展相关领域国内国际交流与合作；指导、检查、推动各镇（区）和有关部门网络安全和信息化工作；完成市委网络安全和信息化委员会办公室（市互联网信息办公室）和县委、县政府及县委网络安全和信息化委员会、县委宣传部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lang w:eastAsia="zh-CN"/>
              </w:rPr>
              <w:t>中共大城县委网络安全和信息化委员会办公室</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lang w:eastAsia="zh-CN"/>
              </w:rPr>
              <w:t>行政机关</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lang w:eastAsia="zh-CN"/>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lang w:eastAsia="zh-CN"/>
              </w:rPr>
              <w:t>财政拨款</w:t>
            </w:r>
          </w:p>
        </w:tc>
      </w:tr>
    </w:tbl>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Times New Roman" w:eastAsia="黑体" w:cs="Times New Roman"/>
          <w:sz w:val="32"/>
          <w:szCs w:val="32"/>
        </w:rPr>
      </w:pPr>
      <w:bookmarkStart w:id="2" w:name="_GoBack"/>
      <w:bookmarkEnd w:id="2"/>
      <w:r>
        <w:rPr>
          <w:rFonts w:ascii="Times New Roman" w:hAnsi="黑体" w:eastAsia="黑体" w:cs="Times New Roman"/>
          <w:sz w:val="32"/>
          <w:szCs w:val="32"/>
        </w:rPr>
        <w:t>二、</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县单位</w:t>
      </w:r>
      <w:r>
        <w:rPr>
          <w:rFonts w:ascii="Times New Roman" w:hAnsi="Times New Roman" w:eastAsia="仿宋_GB2312" w:cs="Times New Roman"/>
          <w:sz w:val="32"/>
          <w:szCs w:val="32"/>
        </w:rPr>
        <w:t>预算的编制实行综合预算制度，即全部收入和支出都反映在预算中。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245.30</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245.30</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2023</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245.30</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143.30</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133.36</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9.94</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102</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网络宣传、网络安全和信息化发展建设、网络舆情引导</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245.30</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lang w:val="en-US" w:eastAsia="zh-CN"/>
        </w:rPr>
        <w:t>0.68</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eastAsia="zh-CN"/>
        </w:rPr>
        <w:t>增加</w:t>
      </w:r>
      <w:r>
        <w:rPr>
          <w:rFonts w:hint="eastAsia" w:ascii="Times New Roman" w:hAnsi="Times New Roman" w:eastAsia="仿宋_GB2312" w:cs="Times New Roman"/>
          <w:sz w:val="32"/>
          <w:szCs w:val="32"/>
          <w:lang w:val="en-US" w:eastAsia="zh-CN"/>
        </w:rPr>
        <w:t>30.32</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工资调整导致人员经费增加</w:t>
      </w:r>
      <w:r>
        <w:rPr>
          <w:rFonts w:ascii="Times New Roman" w:hAnsi="Times New Roman" w:eastAsia="仿宋_GB2312" w:cs="Times New Roman"/>
          <w:sz w:val="32"/>
          <w:szCs w:val="32"/>
        </w:rPr>
        <w:t>支出；项目支出</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31.00</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压减关键信息基础设施</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9.94</w:t>
      </w:r>
      <w:r>
        <w:rPr>
          <w:rFonts w:ascii="Times New Roman" w:hAnsi="Times New Roman" w:eastAsia="仿宋_GB2312" w:cs="Times New Roman"/>
          <w:sz w:val="32"/>
          <w:szCs w:val="32"/>
        </w:rPr>
        <w:t>万元，主要用于办公区的日常维修、办公用房水电费、办公用房取暖费、办公用房物业管理费等日常运行支出。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lang w:eastAsia="zh-CN"/>
        </w:rPr>
        <w:t>持平</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无增减变化。</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五、预算绩效信息</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w:t>
      </w:r>
      <w:r>
        <w:rPr>
          <w:rFonts w:hint="eastAsia" w:ascii="Times New Roman" w:hAnsi="黑体" w:eastAsia="黑体" w:cs="Times New Roman"/>
          <w:sz w:val="32"/>
          <w:szCs w:val="32"/>
          <w:lang w:eastAsia="zh-CN"/>
        </w:rPr>
        <w:t>单位</w:t>
      </w:r>
      <w:r>
        <w:rPr>
          <w:rFonts w:hint="eastAsia" w:ascii="Times New Roman" w:hAnsi="黑体"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以习近平新时代中国特色社会主义思想为指导，深入贯彻习近平总书记关于网络强国的重要思想和党的十九大、十九届二中、三中、四中、五中全会精神，坚决落实省委网信办、市委决策部署，坚持聚焦一个目标、用好两大机遇、提升三大板块、建设“五个廊坊”，坚持加快推进网络综合治理，实现我市网络环境持续好转；坚持巩固网络意识形态，确保全市舆论态势稳定可控；推动网络安全和关键信息基础设施安全检查，网站监测覆盖率超过90%；加强网络宣传，组织开展网络宣传活动3次以上，切实当好网上政治“护城河”排头兵，为加快建设“五个廊坊”做出新的更大贡献。</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1、提高互联网重大突发事件应急处置率</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绩效目标：通过处置网上有害信息，加强网络执法督察有关工作，统筹重大突发事件网络舆情，监测、预警、报告、处置等工作，确保全县互联网舆情态势平稳。</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绩效指标：互联网重大突发事件应急处置率≥95%，领导批示舆情交办率≥95%。</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2、互联网宣传管理和舆论引导工作</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绩效目标：通过推送网络新闻稿件、新媒体传播精品，组织开展重大主题宣传活动，推动网军建设和互联网党建等工作，加强网上舆论引导，营造良好网络舆论氛围，发展健康向上网络文化。</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绩效指标：重大网上宣传活动发稿量超1000篇，网评员队伍建设≥300人。</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3、推进全县网络安全和信息化建设</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绩效目标：通过加快完善各项信息化规划，推进信息化项目落地并优化，指导全县党政部门、重点行业网络安全保障工作，推进全县信息化建设进程，提高全县互联网安全保障水平。</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绩效指标：推动全县信息化建设项目建设和优化数量≥3个，完善相关规划方案，推动全县信息化项目的进程。</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4、网络新闻宣传，引导网络舆论</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目标：通过引导网络舆论，开展全县网评队伍培训、网络文化的管理服务、交流等工作，策划和实施县委网信办交办的网络文化活动，推进我县利用网络媒体服务社会的工作，达到网上舆论氛围积极向上，官方宣传内容占据主旋律的目的。</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绩效指标：组织开展网络宣传活动3次以上，全县网络环境状态持续好转。</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1、完善制度建设。包括制定完善预算绩效管理制度、资金管理办法、工作保障制度等，为全年预算绩效目标的实现奠定制度基础。</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2、加强支出管理。通过优化支出结构、编细编实预算、加快履行政府采购手续、尽快启动项目、及时支付资金、6月底前细化代编预算、按规定及时下达资金等多种措施，确保支出进度达标。</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3、加强绩效运行监控。按要求开展绩效运行监控，发现问题及时采取措施，确保绩效目标如期保质实现。</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4、做好绩效自评。按要求开展上年度部门预算绩效自评和重点评价工作，对评价中发现的问题及时整改，调整优化支出结构，提高财政资金使用效益。</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5、规范财务资产管理。完善财务管理制度，严格审批程序，加强固定资产登记、使用和报废处置管理，做到支出合理，物尽其用。</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6、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7、加强宣传培训调研。加强人员培训，提高本部门职工业务素质；加强调研，提出优化财政资金配置、提高资金使用效益的意见；加大宣传力度，强化预算绩效管理意识，促进预算绩效管理水平进一步提升。</w:t>
      </w:r>
    </w:p>
    <w:p>
      <w:pPr>
        <w:overflowPunct w:val="0"/>
        <w:adjustRightInd w:val="0"/>
        <w:snapToGrid w:val="0"/>
        <w:spacing w:afterLines="50" w:line="584"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2172"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top"/>
          </w:tcPr>
          <w:p>
            <w:pPr>
              <w:keepNext w:val="0"/>
              <w:keepLines w:val="0"/>
              <w:widowControl/>
              <w:suppressLineNumbers w:val="0"/>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产出指标</w:t>
            </w:r>
          </w:p>
        </w:tc>
        <w:tc>
          <w:tcPr>
            <w:tcW w:w="825"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数量指标</w:t>
            </w:r>
          </w:p>
        </w:tc>
        <w:tc>
          <w:tcPr>
            <w:tcW w:w="897"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完成情况</w:t>
            </w:r>
          </w:p>
        </w:tc>
        <w:tc>
          <w:tcPr>
            <w:tcW w:w="2172"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color w:val="000000"/>
                <w:kern w:val="0"/>
                <w:sz w:val="18"/>
                <w:szCs w:val="18"/>
                <w:lang w:eastAsia="zh-CN"/>
              </w:rPr>
            </w:pPr>
            <w:r>
              <w:rPr>
                <w:rFonts w:hint="eastAsia" w:ascii="宋体" w:hAnsi="宋体" w:eastAsia="宋体" w:cs="宋体"/>
                <w:i w:val="0"/>
                <w:iCs w:val="0"/>
                <w:color w:val="000000"/>
                <w:kern w:val="0"/>
                <w:sz w:val="18"/>
                <w:szCs w:val="18"/>
                <w:u w:val="none"/>
                <w:lang w:val="en-US" w:eastAsia="zh-CN" w:bidi="ar"/>
              </w:rPr>
              <w:t>每少完成一个扣1分</w:t>
            </w:r>
          </w:p>
        </w:tc>
        <w:tc>
          <w:tcPr>
            <w:tcW w:w="1483"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　全年项目12月底完成数量</w:t>
            </w:r>
          </w:p>
        </w:tc>
        <w:tc>
          <w:tcPr>
            <w:tcW w:w="543"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w:t>
            </w:r>
          </w:p>
        </w:tc>
        <w:tc>
          <w:tcPr>
            <w:tcW w:w="488"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10</w:t>
            </w:r>
          </w:p>
        </w:tc>
        <w:tc>
          <w:tcPr>
            <w:tcW w:w="573"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个</w:t>
            </w:r>
          </w:p>
        </w:tc>
        <w:tc>
          <w:tcPr>
            <w:tcW w:w="1277"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年度工作计划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continue"/>
            <w:tcBorders>
              <w:tl2br w:val="nil"/>
              <w:tr2bl w:val="nil"/>
            </w:tcBorders>
            <w:vAlign w:val="top"/>
          </w:tcPr>
          <w:p>
            <w:pPr>
              <w:jc w:val="left"/>
              <w:rPr>
                <w:rFonts w:hint="eastAsia" w:ascii="宋体" w:hAnsi="宋体" w:eastAsia="宋体" w:cs="宋体"/>
                <w:sz w:val="18"/>
                <w:szCs w:val="18"/>
              </w:rPr>
            </w:pPr>
          </w:p>
        </w:tc>
        <w:tc>
          <w:tcPr>
            <w:tcW w:w="825"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数量指标</w:t>
            </w:r>
          </w:p>
        </w:tc>
        <w:tc>
          <w:tcPr>
            <w:tcW w:w="897"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完成情况</w:t>
            </w:r>
          </w:p>
        </w:tc>
        <w:tc>
          <w:tcPr>
            <w:tcW w:w="2172"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color w:val="000000"/>
                <w:kern w:val="0"/>
                <w:sz w:val="18"/>
                <w:szCs w:val="18"/>
                <w:lang w:eastAsia="zh-CN"/>
              </w:rPr>
            </w:pPr>
            <w:r>
              <w:rPr>
                <w:rFonts w:hint="eastAsia" w:ascii="宋体" w:hAnsi="宋体" w:eastAsia="宋体" w:cs="宋体"/>
                <w:i w:val="0"/>
                <w:iCs w:val="0"/>
                <w:color w:val="000000"/>
                <w:kern w:val="0"/>
                <w:sz w:val="18"/>
                <w:szCs w:val="18"/>
                <w:u w:val="none"/>
                <w:lang w:val="en-US" w:eastAsia="zh-CN" w:bidi="ar"/>
              </w:rPr>
              <w:t>每少完成一个扣1分</w:t>
            </w:r>
          </w:p>
        </w:tc>
        <w:tc>
          <w:tcPr>
            <w:tcW w:w="1483"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　全年重点工作12月底完成数量</w:t>
            </w:r>
          </w:p>
        </w:tc>
        <w:tc>
          <w:tcPr>
            <w:tcW w:w="543"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w:t>
            </w:r>
          </w:p>
        </w:tc>
        <w:tc>
          <w:tcPr>
            <w:tcW w:w="488"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4</w:t>
            </w:r>
          </w:p>
        </w:tc>
        <w:tc>
          <w:tcPr>
            <w:tcW w:w="573"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个</w:t>
            </w:r>
          </w:p>
        </w:tc>
        <w:tc>
          <w:tcPr>
            <w:tcW w:w="1277"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年度工作计划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top"/>
          </w:tcPr>
          <w:p>
            <w:pPr>
              <w:jc w:val="left"/>
              <w:rPr>
                <w:rFonts w:hint="eastAsia" w:ascii="宋体" w:hAnsi="宋体" w:eastAsia="宋体" w:cs="宋体"/>
                <w:sz w:val="18"/>
                <w:szCs w:val="18"/>
              </w:rPr>
            </w:pPr>
          </w:p>
        </w:tc>
        <w:tc>
          <w:tcPr>
            <w:tcW w:w="825"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质量指标</w:t>
            </w:r>
          </w:p>
        </w:tc>
        <w:tc>
          <w:tcPr>
            <w:tcW w:w="897"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完成率</w:t>
            </w:r>
          </w:p>
        </w:tc>
        <w:tc>
          <w:tcPr>
            <w:tcW w:w="2172"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color w:val="000000"/>
                <w:kern w:val="0"/>
                <w:sz w:val="18"/>
                <w:szCs w:val="18"/>
                <w:lang w:eastAsia="zh-CN"/>
              </w:rPr>
            </w:pPr>
            <w:r>
              <w:rPr>
                <w:rFonts w:hint="eastAsia" w:ascii="宋体" w:hAnsi="宋体" w:eastAsia="宋体" w:cs="宋体"/>
                <w:i w:val="0"/>
                <w:iCs w:val="0"/>
                <w:color w:val="000000"/>
                <w:kern w:val="0"/>
                <w:sz w:val="18"/>
                <w:szCs w:val="18"/>
                <w:u w:val="none"/>
                <w:lang w:val="en-US" w:eastAsia="zh-CN" w:bidi="ar"/>
              </w:rPr>
              <w:t>每少完成一个扣1分</w:t>
            </w:r>
          </w:p>
        </w:tc>
        <w:tc>
          <w:tcPr>
            <w:tcW w:w="1483"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交办任务完成率</w:t>
            </w:r>
          </w:p>
        </w:tc>
        <w:tc>
          <w:tcPr>
            <w:tcW w:w="543"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w:t>
            </w:r>
          </w:p>
        </w:tc>
        <w:tc>
          <w:tcPr>
            <w:tcW w:w="488"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90</w:t>
            </w:r>
          </w:p>
        </w:tc>
        <w:tc>
          <w:tcPr>
            <w:tcW w:w="573"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w:t>
            </w:r>
          </w:p>
        </w:tc>
        <w:tc>
          <w:tcPr>
            <w:tcW w:w="1277"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年度工作计划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top"/>
          </w:tcPr>
          <w:p>
            <w:pPr>
              <w:jc w:val="left"/>
              <w:rPr>
                <w:rFonts w:hint="eastAsia" w:ascii="宋体" w:hAnsi="宋体" w:eastAsia="宋体" w:cs="宋体"/>
                <w:sz w:val="18"/>
                <w:szCs w:val="18"/>
              </w:rPr>
            </w:pPr>
          </w:p>
        </w:tc>
        <w:tc>
          <w:tcPr>
            <w:tcW w:w="825"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时效指标</w:t>
            </w:r>
          </w:p>
        </w:tc>
        <w:tc>
          <w:tcPr>
            <w:tcW w:w="897"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预算执行</w:t>
            </w:r>
          </w:p>
        </w:tc>
        <w:tc>
          <w:tcPr>
            <w:tcW w:w="2172"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color w:val="000000"/>
                <w:kern w:val="0"/>
                <w:sz w:val="18"/>
                <w:szCs w:val="18"/>
                <w:lang w:eastAsia="zh-CN"/>
              </w:rPr>
            </w:pPr>
            <w:r>
              <w:rPr>
                <w:rFonts w:hint="eastAsia" w:ascii="宋体" w:hAnsi="宋体" w:eastAsia="宋体" w:cs="宋体"/>
                <w:i w:val="0"/>
                <w:iCs w:val="0"/>
                <w:color w:val="000000"/>
                <w:kern w:val="0"/>
                <w:sz w:val="18"/>
                <w:szCs w:val="18"/>
                <w:u w:val="none"/>
                <w:lang w:val="en-US" w:eastAsia="zh-CN" w:bidi="ar"/>
              </w:rPr>
              <w:t>每少支出一万元扣1分</w:t>
            </w:r>
          </w:p>
        </w:tc>
        <w:tc>
          <w:tcPr>
            <w:tcW w:w="1483"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项目资金11月底支出进度</w:t>
            </w:r>
          </w:p>
        </w:tc>
        <w:tc>
          <w:tcPr>
            <w:tcW w:w="543"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w:t>
            </w:r>
          </w:p>
        </w:tc>
        <w:tc>
          <w:tcPr>
            <w:tcW w:w="488"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95</w:t>
            </w:r>
          </w:p>
        </w:tc>
        <w:tc>
          <w:tcPr>
            <w:tcW w:w="573"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w:t>
            </w:r>
          </w:p>
        </w:tc>
        <w:tc>
          <w:tcPr>
            <w:tcW w:w="1277"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年度工作计划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top"/>
          </w:tcPr>
          <w:p>
            <w:pPr>
              <w:jc w:val="left"/>
              <w:rPr>
                <w:rFonts w:hint="eastAsia" w:ascii="宋体" w:hAnsi="宋体" w:eastAsia="宋体" w:cs="宋体"/>
                <w:sz w:val="18"/>
                <w:szCs w:val="18"/>
              </w:rPr>
            </w:pPr>
          </w:p>
        </w:tc>
        <w:tc>
          <w:tcPr>
            <w:tcW w:w="825"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成本指标</w:t>
            </w:r>
          </w:p>
        </w:tc>
        <w:tc>
          <w:tcPr>
            <w:tcW w:w="897"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预算执行</w:t>
            </w:r>
          </w:p>
        </w:tc>
        <w:tc>
          <w:tcPr>
            <w:tcW w:w="2172"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color w:val="000000"/>
                <w:kern w:val="0"/>
                <w:sz w:val="18"/>
                <w:szCs w:val="18"/>
                <w:lang w:eastAsia="zh-CN"/>
              </w:rPr>
            </w:pPr>
            <w:r>
              <w:rPr>
                <w:rFonts w:hint="eastAsia" w:ascii="宋体" w:hAnsi="宋体" w:eastAsia="宋体" w:cs="宋体"/>
                <w:i w:val="0"/>
                <w:iCs w:val="0"/>
                <w:color w:val="000000"/>
                <w:kern w:val="0"/>
                <w:sz w:val="18"/>
                <w:szCs w:val="18"/>
                <w:u w:val="none"/>
                <w:lang w:val="en-US" w:eastAsia="zh-CN" w:bidi="ar"/>
              </w:rPr>
              <w:t>每多支出一万元扣1分</w:t>
            </w:r>
          </w:p>
        </w:tc>
        <w:tc>
          <w:tcPr>
            <w:tcW w:w="1483"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　成本控制在预算额度</w:t>
            </w:r>
          </w:p>
        </w:tc>
        <w:tc>
          <w:tcPr>
            <w:tcW w:w="543"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文字描述</w:t>
            </w:r>
          </w:p>
        </w:tc>
        <w:tc>
          <w:tcPr>
            <w:tcW w:w="488" w:type="dxa"/>
            <w:tcBorders>
              <w:tl2br w:val="nil"/>
              <w:tr2bl w:val="nil"/>
            </w:tcBorders>
            <w:vAlign w:val="top"/>
          </w:tcPr>
          <w:p>
            <w:pPr>
              <w:jc w:val="left"/>
              <w:rPr>
                <w:rFonts w:hint="eastAsia" w:ascii="宋体" w:hAnsi="宋体" w:eastAsia="宋体" w:cs="宋体"/>
                <w:sz w:val="18"/>
                <w:szCs w:val="18"/>
              </w:rPr>
            </w:pPr>
          </w:p>
        </w:tc>
        <w:tc>
          <w:tcPr>
            <w:tcW w:w="573"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成本控制</w:t>
            </w:r>
          </w:p>
        </w:tc>
        <w:tc>
          <w:tcPr>
            <w:tcW w:w="1277"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年度工作计划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效益指标</w:t>
            </w:r>
          </w:p>
        </w:tc>
        <w:tc>
          <w:tcPr>
            <w:tcW w:w="825"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社会效益指标</w:t>
            </w:r>
          </w:p>
        </w:tc>
        <w:tc>
          <w:tcPr>
            <w:tcW w:w="897"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网络安全认知度提升　</w:t>
            </w:r>
          </w:p>
        </w:tc>
        <w:tc>
          <w:tcPr>
            <w:tcW w:w="2172"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color w:val="000000"/>
                <w:kern w:val="0"/>
                <w:sz w:val="18"/>
                <w:szCs w:val="18"/>
                <w:lang w:eastAsia="zh-CN"/>
              </w:rPr>
            </w:pPr>
            <w:r>
              <w:rPr>
                <w:rFonts w:hint="eastAsia" w:ascii="宋体" w:hAnsi="宋体" w:eastAsia="宋体" w:cs="宋体"/>
                <w:i w:val="0"/>
                <w:iCs w:val="0"/>
                <w:color w:val="000000"/>
                <w:kern w:val="0"/>
                <w:sz w:val="18"/>
                <w:szCs w:val="18"/>
                <w:u w:val="none"/>
                <w:lang w:val="en-US" w:eastAsia="zh-CN" w:bidi="ar"/>
              </w:rPr>
              <w:t>提升即得全部分数</w:t>
            </w:r>
          </w:p>
        </w:tc>
        <w:tc>
          <w:tcPr>
            <w:tcW w:w="1483"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　提升群众对网络安全的认知度</w:t>
            </w:r>
          </w:p>
        </w:tc>
        <w:tc>
          <w:tcPr>
            <w:tcW w:w="543"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文字描述</w:t>
            </w:r>
          </w:p>
        </w:tc>
        <w:tc>
          <w:tcPr>
            <w:tcW w:w="488" w:type="dxa"/>
            <w:tcBorders>
              <w:tl2br w:val="nil"/>
              <w:tr2bl w:val="nil"/>
            </w:tcBorders>
            <w:vAlign w:val="top"/>
          </w:tcPr>
          <w:p>
            <w:pPr>
              <w:jc w:val="left"/>
              <w:rPr>
                <w:rFonts w:hint="eastAsia" w:ascii="宋体" w:hAnsi="宋体" w:eastAsia="宋体" w:cs="宋体"/>
                <w:sz w:val="18"/>
                <w:szCs w:val="18"/>
              </w:rPr>
            </w:pPr>
          </w:p>
        </w:tc>
        <w:tc>
          <w:tcPr>
            <w:tcW w:w="573"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　提升</w:t>
            </w:r>
          </w:p>
        </w:tc>
        <w:tc>
          <w:tcPr>
            <w:tcW w:w="1277"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年度工作计划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restart"/>
            <w:tcBorders>
              <w:tl2br w:val="nil"/>
              <w:tr2bl w:val="nil"/>
            </w:tcBorders>
            <w:vAlign w:val="top"/>
          </w:tcPr>
          <w:p>
            <w:pPr>
              <w:keepNext w:val="0"/>
              <w:keepLines w:val="0"/>
              <w:widowControl/>
              <w:suppressLineNumbers w:val="0"/>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满意度指标</w:t>
            </w:r>
          </w:p>
        </w:tc>
        <w:tc>
          <w:tcPr>
            <w:tcW w:w="825"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897" w:type="dxa"/>
            <w:tcBorders>
              <w:tl2br w:val="nil"/>
              <w:tr2bl w:val="nil"/>
            </w:tcBorders>
            <w:noWrap/>
            <w:vAlign w:val="top"/>
          </w:tcPr>
          <w:p>
            <w:pPr>
              <w:keepNext w:val="0"/>
              <w:keepLines w:val="0"/>
              <w:widowControl/>
              <w:suppressLineNumbers w:val="0"/>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网评员满意度　</w:t>
            </w:r>
          </w:p>
        </w:tc>
        <w:tc>
          <w:tcPr>
            <w:tcW w:w="2172" w:type="dxa"/>
            <w:tcBorders>
              <w:tl2br w:val="nil"/>
              <w:tr2bl w:val="nil"/>
            </w:tcBorders>
            <w:noWrap/>
            <w:vAlign w:val="top"/>
          </w:tcPr>
          <w:p>
            <w:pPr>
              <w:keepNext w:val="0"/>
              <w:keepLines w:val="0"/>
              <w:widowControl/>
              <w:suppressLineNumbers w:val="0"/>
              <w:jc w:val="left"/>
              <w:textAlignment w:val="top"/>
              <w:rPr>
                <w:rFonts w:hint="eastAsia" w:ascii="宋体" w:hAnsi="宋体" w:eastAsia="宋体" w:cs="宋体"/>
                <w:color w:val="000000"/>
                <w:kern w:val="0"/>
                <w:sz w:val="18"/>
                <w:szCs w:val="18"/>
                <w:lang w:eastAsia="zh-CN"/>
              </w:rPr>
            </w:pPr>
            <w:r>
              <w:rPr>
                <w:rFonts w:hint="eastAsia" w:ascii="宋体" w:hAnsi="宋体" w:eastAsia="宋体" w:cs="宋体"/>
                <w:i w:val="0"/>
                <w:iCs w:val="0"/>
                <w:color w:val="000000"/>
                <w:kern w:val="0"/>
                <w:sz w:val="18"/>
                <w:szCs w:val="18"/>
                <w:u w:val="none"/>
                <w:lang w:val="en-US" w:eastAsia="zh-CN" w:bidi="ar"/>
              </w:rPr>
              <w:t>完成即得全部分数</w:t>
            </w:r>
          </w:p>
        </w:tc>
        <w:tc>
          <w:tcPr>
            <w:tcW w:w="1483" w:type="dxa"/>
            <w:tcBorders>
              <w:tl2br w:val="nil"/>
              <w:tr2bl w:val="nil"/>
            </w:tcBorders>
            <w:noWrap/>
            <w:vAlign w:val="top"/>
          </w:tcPr>
          <w:p>
            <w:pPr>
              <w:keepNext w:val="0"/>
              <w:keepLines w:val="0"/>
              <w:widowControl/>
              <w:suppressLineNumbers w:val="0"/>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　网评员对网评工作开展满意度</w:t>
            </w:r>
          </w:p>
        </w:tc>
        <w:tc>
          <w:tcPr>
            <w:tcW w:w="543"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文字描述</w:t>
            </w:r>
          </w:p>
        </w:tc>
        <w:tc>
          <w:tcPr>
            <w:tcW w:w="488" w:type="dxa"/>
            <w:tcBorders>
              <w:tl2br w:val="nil"/>
              <w:tr2bl w:val="nil"/>
            </w:tcBorders>
            <w:vAlign w:val="top"/>
          </w:tcPr>
          <w:p>
            <w:pPr>
              <w:jc w:val="left"/>
              <w:rPr>
                <w:rFonts w:hint="eastAsia" w:ascii="宋体" w:hAnsi="宋体" w:eastAsia="宋体" w:cs="宋体"/>
                <w:sz w:val="18"/>
                <w:szCs w:val="18"/>
              </w:rPr>
            </w:pPr>
          </w:p>
        </w:tc>
        <w:tc>
          <w:tcPr>
            <w:tcW w:w="573"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满意</w:t>
            </w:r>
          </w:p>
        </w:tc>
        <w:tc>
          <w:tcPr>
            <w:tcW w:w="1277"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年度工作计划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top"/>
          </w:tcPr>
          <w:p>
            <w:pPr>
              <w:jc w:val="left"/>
              <w:rPr>
                <w:rFonts w:hint="eastAsia" w:ascii="宋体" w:hAnsi="宋体" w:eastAsia="宋体" w:cs="宋体"/>
                <w:sz w:val="18"/>
                <w:szCs w:val="18"/>
              </w:rPr>
            </w:pPr>
          </w:p>
        </w:tc>
        <w:tc>
          <w:tcPr>
            <w:tcW w:w="825"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897" w:type="dxa"/>
            <w:tcBorders>
              <w:tl2br w:val="nil"/>
              <w:tr2bl w:val="nil"/>
            </w:tcBorders>
            <w:noWrap/>
            <w:vAlign w:val="top"/>
          </w:tcPr>
          <w:p>
            <w:pPr>
              <w:keepNext w:val="0"/>
              <w:keepLines w:val="0"/>
              <w:widowControl/>
              <w:suppressLineNumbers w:val="0"/>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　工作人员满意度</w:t>
            </w:r>
          </w:p>
        </w:tc>
        <w:tc>
          <w:tcPr>
            <w:tcW w:w="2172" w:type="dxa"/>
            <w:tcBorders>
              <w:tl2br w:val="nil"/>
              <w:tr2bl w:val="nil"/>
            </w:tcBorders>
            <w:noWrap/>
            <w:vAlign w:val="top"/>
          </w:tcPr>
          <w:p>
            <w:pPr>
              <w:keepNext w:val="0"/>
              <w:keepLines w:val="0"/>
              <w:widowControl/>
              <w:suppressLineNumbers w:val="0"/>
              <w:jc w:val="left"/>
              <w:textAlignment w:val="top"/>
              <w:rPr>
                <w:rFonts w:hint="eastAsia" w:ascii="宋体" w:hAnsi="宋体" w:eastAsia="宋体" w:cs="宋体"/>
                <w:color w:val="000000"/>
                <w:kern w:val="0"/>
                <w:sz w:val="18"/>
                <w:szCs w:val="18"/>
                <w:lang w:eastAsia="zh-CN"/>
              </w:rPr>
            </w:pPr>
            <w:r>
              <w:rPr>
                <w:rFonts w:hint="eastAsia" w:ascii="宋体" w:hAnsi="宋体" w:eastAsia="宋体" w:cs="宋体"/>
                <w:i w:val="0"/>
                <w:iCs w:val="0"/>
                <w:color w:val="000000"/>
                <w:kern w:val="0"/>
                <w:sz w:val="18"/>
                <w:szCs w:val="18"/>
                <w:u w:val="none"/>
                <w:lang w:val="en-US" w:eastAsia="zh-CN" w:bidi="ar"/>
              </w:rPr>
              <w:t>完成即得全部分数</w:t>
            </w:r>
          </w:p>
        </w:tc>
        <w:tc>
          <w:tcPr>
            <w:tcW w:w="1483" w:type="dxa"/>
            <w:tcBorders>
              <w:tl2br w:val="nil"/>
              <w:tr2bl w:val="nil"/>
            </w:tcBorders>
            <w:noWrap/>
            <w:vAlign w:val="top"/>
          </w:tcPr>
          <w:p>
            <w:pPr>
              <w:keepNext w:val="0"/>
              <w:keepLines w:val="0"/>
              <w:widowControl/>
              <w:suppressLineNumbers w:val="0"/>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　工作人员对工作开展情况满意度</w:t>
            </w:r>
          </w:p>
        </w:tc>
        <w:tc>
          <w:tcPr>
            <w:tcW w:w="543"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文字描述</w:t>
            </w:r>
          </w:p>
        </w:tc>
        <w:tc>
          <w:tcPr>
            <w:tcW w:w="488" w:type="dxa"/>
            <w:tcBorders>
              <w:tl2br w:val="nil"/>
              <w:tr2bl w:val="nil"/>
            </w:tcBorders>
            <w:vAlign w:val="top"/>
          </w:tcPr>
          <w:p>
            <w:pPr>
              <w:jc w:val="left"/>
              <w:rPr>
                <w:rFonts w:hint="eastAsia" w:ascii="宋体" w:hAnsi="宋体" w:eastAsia="宋体" w:cs="宋体"/>
                <w:sz w:val="18"/>
                <w:szCs w:val="18"/>
              </w:rPr>
            </w:pPr>
          </w:p>
        </w:tc>
        <w:tc>
          <w:tcPr>
            <w:tcW w:w="573"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满意</w:t>
            </w:r>
          </w:p>
        </w:tc>
        <w:tc>
          <w:tcPr>
            <w:tcW w:w="1277"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年度工作计划</w:t>
            </w:r>
          </w:p>
        </w:tc>
      </w:tr>
    </w:tbl>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numPr>
          <w:ilvl w:val="0"/>
          <w:numId w:val="0"/>
        </w:numPr>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网络媒体战略合作经费</w:t>
      </w:r>
      <w:r>
        <w:rPr>
          <w:rFonts w:ascii="Times New Roman" w:hAnsi="Times New Roman" w:eastAsia="仿宋_GB2312" w:cs="Times New Roman"/>
          <w:sz w:val="28"/>
        </w:rPr>
        <w:t>绩效目标表</w:t>
      </w:r>
    </w:p>
    <w:tbl>
      <w:tblPr>
        <w:tblStyle w:val="8"/>
        <w:tblW w:w="11985" w:type="dxa"/>
        <w:tblInd w:w="8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42"/>
        <w:gridCol w:w="1448"/>
        <w:gridCol w:w="1448"/>
        <w:gridCol w:w="3617"/>
        <w:gridCol w:w="2565"/>
        <w:gridCol w:w="19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2"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绩效目标</w:t>
            </w:r>
          </w:p>
        </w:tc>
        <w:tc>
          <w:tcPr>
            <w:tcW w:w="11043"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发布宣传类新闻不少于1000篇，发布时效不超过24小时。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一级指标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二级指标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三级指标</w:t>
            </w:r>
          </w:p>
        </w:tc>
        <w:tc>
          <w:tcPr>
            <w:tcW w:w="3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绩效指标描述（指标内容）</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指标值</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default" w:ascii="宋体" w:hAnsi="宋体" w:eastAsia="宋体" w:cs="宋体"/>
                <w:b/>
                <w:bCs/>
                <w:i w:val="0"/>
                <w:iCs w:val="0"/>
                <w:color w:val="000000"/>
                <w:kern w:val="0"/>
                <w:sz w:val="21"/>
                <w:szCs w:val="21"/>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val="en-US" w:eastAsia="zh-CN"/>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default" w:ascii="宋体" w:hAnsi="宋体" w:eastAsia="宋体" w:cs="宋体"/>
                <w:i w:val="0"/>
                <w:iCs w:val="0"/>
                <w:color w:val="000000"/>
                <w:sz w:val="21"/>
                <w:szCs w:val="21"/>
                <w:u w:val="none"/>
                <w:lang w:val="en-US" w:eastAsia="zh-CN"/>
              </w:rPr>
              <w:t>播发稿件数量（篇）</w:t>
            </w:r>
          </w:p>
        </w:tc>
        <w:tc>
          <w:tcPr>
            <w:tcW w:w="36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default" w:ascii="宋体" w:hAnsi="宋体" w:eastAsia="宋体" w:cs="宋体"/>
                <w:i w:val="0"/>
                <w:iCs w:val="0"/>
                <w:color w:val="000000"/>
                <w:sz w:val="21"/>
                <w:szCs w:val="21"/>
                <w:u w:val="none"/>
                <w:lang w:val="en-US" w:eastAsia="zh-CN"/>
              </w:rPr>
              <w:t>反映播发稿件数量</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default" w:ascii="宋体" w:hAnsi="宋体" w:eastAsia="宋体" w:cs="宋体"/>
                <w:i w:val="0"/>
                <w:iCs w:val="0"/>
                <w:color w:val="000000"/>
                <w:sz w:val="21"/>
                <w:szCs w:val="21"/>
                <w:u w:val="none"/>
                <w:lang w:val="en-US" w:eastAsia="zh-CN"/>
              </w:rPr>
              <w:t>≥1000篇</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default" w:ascii="宋体" w:hAnsi="宋体" w:eastAsia="宋体" w:cs="宋体"/>
                <w:i w:val="0"/>
                <w:iCs w:val="0"/>
                <w:color w:val="000000"/>
                <w:sz w:val="21"/>
                <w:szCs w:val="21"/>
                <w:u w:val="none"/>
                <w:lang w:val="en-US" w:eastAsia="zh-CN"/>
              </w:rPr>
              <w:t>历史播发数量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val="en-US" w:eastAsia="zh-CN"/>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default" w:ascii="宋体" w:hAnsi="宋体" w:eastAsia="宋体" w:cs="宋体"/>
                <w:i w:val="0"/>
                <w:iCs w:val="0"/>
                <w:color w:val="000000"/>
                <w:sz w:val="21"/>
                <w:szCs w:val="21"/>
                <w:u w:val="none"/>
                <w:lang w:val="en-US" w:eastAsia="zh-CN"/>
              </w:rPr>
              <w:t>开办宣传专栏数</w:t>
            </w:r>
          </w:p>
        </w:tc>
        <w:tc>
          <w:tcPr>
            <w:tcW w:w="36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default" w:ascii="宋体" w:hAnsi="宋体" w:eastAsia="宋体" w:cs="宋体"/>
                <w:i w:val="0"/>
                <w:iCs w:val="0"/>
                <w:color w:val="000000"/>
                <w:sz w:val="21"/>
                <w:szCs w:val="21"/>
                <w:u w:val="none"/>
                <w:lang w:val="en-US" w:eastAsia="zh-CN"/>
              </w:rPr>
              <w:t>开办宣传专栏数量</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default" w:ascii="宋体" w:hAnsi="宋体" w:eastAsia="宋体" w:cs="宋体"/>
                <w:i w:val="0"/>
                <w:iCs w:val="0"/>
                <w:color w:val="000000"/>
                <w:sz w:val="21"/>
                <w:szCs w:val="21"/>
                <w:u w:val="none"/>
                <w:lang w:val="en-US" w:eastAsia="zh-CN"/>
              </w:rPr>
              <w:t>≥5个</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default" w:ascii="宋体" w:hAnsi="宋体" w:eastAsia="宋体" w:cs="宋体"/>
                <w:i w:val="0"/>
                <w:iCs w:val="0"/>
                <w:color w:val="000000"/>
                <w:sz w:val="21"/>
                <w:szCs w:val="21"/>
                <w:u w:val="none"/>
                <w:lang w:val="en-US" w:eastAsia="zh-CN"/>
              </w:rPr>
              <w:t>历史宣传专栏数量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val="en-US" w:eastAsia="zh-CN"/>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default" w:ascii="宋体" w:hAnsi="宋体" w:eastAsia="宋体" w:cs="宋体"/>
                <w:i w:val="0"/>
                <w:iCs w:val="0"/>
                <w:color w:val="000000"/>
                <w:sz w:val="21"/>
                <w:szCs w:val="21"/>
                <w:u w:val="none"/>
                <w:lang w:val="en-US" w:eastAsia="zh-CN"/>
              </w:rPr>
              <w:t>稿件原创率</w:t>
            </w:r>
          </w:p>
        </w:tc>
        <w:tc>
          <w:tcPr>
            <w:tcW w:w="36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default" w:ascii="宋体" w:hAnsi="宋体" w:eastAsia="宋体" w:cs="宋体"/>
                <w:i w:val="0"/>
                <w:iCs w:val="0"/>
                <w:color w:val="000000"/>
                <w:sz w:val="21"/>
                <w:szCs w:val="21"/>
                <w:u w:val="none"/>
                <w:lang w:val="en-US" w:eastAsia="zh-CN"/>
              </w:rPr>
              <w:t>反映原创稿件占比</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default" w:ascii="宋体" w:hAnsi="宋体" w:eastAsia="宋体" w:cs="宋体"/>
                <w:i w:val="0"/>
                <w:iCs w:val="0"/>
                <w:color w:val="000000"/>
                <w:sz w:val="21"/>
                <w:szCs w:val="21"/>
                <w:u w:val="none"/>
                <w:lang w:val="en-US" w:eastAsia="zh-CN"/>
              </w:rPr>
              <w:t>≥50%</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default" w:ascii="宋体" w:hAnsi="宋体" w:eastAsia="宋体" w:cs="宋体"/>
                <w:i w:val="0"/>
                <w:iCs w:val="0"/>
                <w:color w:val="000000"/>
                <w:sz w:val="21"/>
                <w:szCs w:val="21"/>
                <w:u w:val="none"/>
                <w:lang w:val="en-US" w:eastAsia="zh-CN"/>
              </w:rPr>
              <w:t>历史播发原创率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val="en-US" w:eastAsia="zh-CN"/>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default" w:ascii="宋体" w:hAnsi="宋体" w:eastAsia="宋体" w:cs="宋体"/>
                <w:i w:val="0"/>
                <w:iCs w:val="0"/>
                <w:color w:val="000000"/>
                <w:sz w:val="21"/>
                <w:szCs w:val="21"/>
                <w:u w:val="none"/>
                <w:lang w:val="en-US" w:eastAsia="zh-CN"/>
              </w:rPr>
              <w:t>报导发布及时</w:t>
            </w:r>
          </w:p>
        </w:tc>
        <w:tc>
          <w:tcPr>
            <w:tcW w:w="36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default" w:ascii="宋体" w:hAnsi="宋体" w:eastAsia="宋体" w:cs="宋体"/>
                <w:i w:val="0"/>
                <w:iCs w:val="0"/>
                <w:color w:val="000000"/>
                <w:sz w:val="21"/>
                <w:szCs w:val="21"/>
                <w:u w:val="none"/>
                <w:lang w:val="en-US" w:eastAsia="zh-CN"/>
              </w:rPr>
              <w:t>反映发布时效情况</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default" w:ascii="宋体" w:hAnsi="宋体" w:eastAsia="宋体" w:cs="宋体"/>
                <w:i w:val="0"/>
                <w:iCs w:val="0"/>
                <w:color w:val="000000"/>
                <w:sz w:val="21"/>
                <w:szCs w:val="21"/>
                <w:u w:val="none"/>
                <w:lang w:val="en-US" w:eastAsia="zh-CN"/>
              </w:rPr>
              <w:t>及时</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default" w:ascii="宋体" w:hAnsi="宋体" w:eastAsia="宋体" w:cs="宋体"/>
                <w:i w:val="0"/>
                <w:iCs w:val="0"/>
                <w:color w:val="000000"/>
                <w:sz w:val="21"/>
                <w:szCs w:val="21"/>
                <w:u w:val="none"/>
                <w:lang w:val="en-US" w:eastAsia="zh-CN"/>
              </w:rPr>
              <w:t>历史报导发布时效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val="en-US" w:eastAsia="zh-CN"/>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default" w:ascii="宋体" w:hAnsi="宋体" w:eastAsia="宋体" w:cs="宋体"/>
                <w:i w:val="0"/>
                <w:iCs w:val="0"/>
                <w:color w:val="000000"/>
                <w:sz w:val="21"/>
                <w:szCs w:val="21"/>
                <w:u w:val="none"/>
                <w:lang w:val="en-US" w:eastAsia="zh-CN"/>
              </w:rPr>
              <w:t>成本控制</w:t>
            </w:r>
          </w:p>
        </w:tc>
        <w:tc>
          <w:tcPr>
            <w:tcW w:w="36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default" w:ascii="宋体" w:hAnsi="宋体" w:eastAsia="宋体" w:cs="宋体"/>
                <w:i w:val="0"/>
                <w:iCs w:val="0"/>
                <w:color w:val="000000"/>
                <w:sz w:val="21"/>
                <w:szCs w:val="21"/>
                <w:u w:val="none"/>
                <w:lang w:val="en-US" w:eastAsia="zh-CN"/>
              </w:rPr>
              <w:t>反映成本控制情况</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default" w:ascii="宋体" w:hAnsi="宋体" w:eastAsia="宋体" w:cs="宋体"/>
                <w:i w:val="0"/>
                <w:iCs w:val="0"/>
                <w:color w:val="000000"/>
                <w:sz w:val="21"/>
                <w:szCs w:val="21"/>
                <w:u w:val="none"/>
                <w:lang w:val="en-US" w:eastAsia="zh-CN"/>
              </w:rPr>
              <w:t>≤75万元</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default" w:ascii="宋体" w:hAnsi="宋体" w:eastAsia="宋体" w:cs="宋体"/>
                <w:i w:val="0"/>
                <w:iCs w:val="0"/>
                <w:color w:val="000000"/>
                <w:sz w:val="21"/>
                <w:szCs w:val="21"/>
                <w:u w:val="none"/>
                <w:lang w:val="en-US" w:eastAsia="zh-CN"/>
              </w:rPr>
              <w:t>历史成本统计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4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default" w:ascii="宋体" w:hAnsi="宋体" w:eastAsia="宋体" w:cs="宋体"/>
                <w:b/>
                <w:bCs/>
                <w:i w:val="0"/>
                <w:iCs w:val="0"/>
                <w:color w:val="000000"/>
                <w:kern w:val="0"/>
                <w:sz w:val="21"/>
                <w:szCs w:val="21"/>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val="en-US" w:eastAsia="zh-CN"/>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default" w:ascii="宋体" w:hAnsi="宋体" w:eastAsia="宋体" w:cs="宋体"/>
                <w:i w:val="0"/>
                <w:iCs w:val="0"/>
                <w:color w:val="000000"/>
                <w:sz w:val="21"/>
                <w:szCs w:val="21"/>
                <w:u w:val="none"/>
                <w:lang w:val="en-US" w:eastAsia="zh-CN"/>
              </w:rPr>
              <w:t>群众关注度</w:t>
            </w:r>
          </w:p>
        </w:tc>
        <w:tc>
          <w:tcPr>
            <w:tcW w:w="36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default" w:ascii="宋体" w:hAnsi="宋体" w:eastAsia="宋体" w:cs="宋体"/>
                <w:i w:val="0"/>
                <w:iCs w:val="0"/>
                <w:color w:val="000000"/>
                <w:sz w:val="21"/>
                <w:szCs w:val="21"/>
                <w:u w:val="none"/>
                <w:lang w:val="en-US" w:eastAsia="zh-CN"/>
              </w:rPr>
              <w:t>群众对大城关注度</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default" w:ascii="宋体" w:hAnsi="宋体" w:eastAsia="宋体" w:cs="宋体"/>
                <w:i w:val="0"/>
                <w:iCs w:val="0"/>
                <w:color w:val="000000"/>
                <w:sz w:val="21"/>
                <w:szCs w:val="21"/>
                <w:u w:val="none"/>
                <w:lang w:val="en-US" w:eastAsia="zh-CN"/>
              </w:rPr>
              <w:t>增加</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default" w:ascii="宋体" w:hAnsi="宋体" w:eastAsia="宋体" w:cs="宋体"/>
                <w:i w:val="0"/>
                <w:iCs w:val="0"/>
                <w:color w:val="000000"/>
                <w:sz w:val="21"/>
                <w:szCs w:val="21"/>
                <w:u w:val="none"/>
                <w:lang w:val="en-US" w:eastAsia="zh-CN"/>
              </w:rPr>
              <w:t>历史统计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val="en-US" w:eastAsia="zh-CN"/>
              </w:rPr>
              <w:t>可持续影响指标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default" w:ascii="宋体" w:hAnsi="宋体" w:eastAsia="宋体" w:cs="宋体"/>
                <w:i w:val="0"/>
                <w:iCs w:val="0"/>
                <w:color w:val="000000"/>
                <w:sz w:val="21"/>
                <w:szCs w:val="21"/>
                <w:u w:val="none"/>
                <w:lang w:val="en-US" w:eastAsia="zh-CN"/>
              </w:rPr>
              <w:t>稿件保存时长</w:t>
            </w:r>
          </w:p>
        </w:tc>
        <w:tc>
          <w:tcPr>
            <w:tcW w:w="36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default" w:ascii="宋体" w:hAnsi="宋体" w:eastAsia="宋体" w:cs="宋体"/>
                <w:i w:val="0"/>
                <w:iCs w:val="0"/>
                <w:color w:val="000000"/>
                <w:sz w:val="21"/>
                <w:szCs w:val="21"/>
                <w:u w:val="none"/>
                <w:lang w:val="en-US" w:eastAsia="zh-CN"/>
              </w:rPr>
              <w:t>稿件在媒体保存时间</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default" w:ascii="宋体" w:hAnsi="宋体" w:eastAsia="宋体" w:cs="宋体"/>
                <w:i w:val="0"/>
                <w:iCs w:val="0"/>
                <w:color w:val="000000"/>
                <w:sz w:val="21"/>
                <w:szCs w:val="21"/>
                <w:u w:val="none"/>
                <w:lang w:val="en-US" w:eastAsia="zh-CN"/>
              </w:rPr>
              <w:t>≥1年</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default" w:ascii="宋体" w:hAnsi="宋体" w:eastAsia="宋体" w:cs="宋体"/>
                <w:i w:val="0"/>
                <w:iCs w:val="0"/>
                <w:color w:val="000000"/>
                <w:sz w:val="21"/>
                <w:szCs w:val="21"/>
                <w:u w:val="none"/>
                <w:lang w:val="en-US" w:eastAsia="zh-CN"/>
              </w:rPr>
              <w:t>历史稿件存储时间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default" w:ascii="宋体" w:hAnsi="宋体" w:eastAsia="宋体" w:cs="宋体"/>
                <w:b/>
                <w:bCs/>
                <w:i w:val="0"/>
                <w:iCs w:val="0"/>
                <w:color w:val="000000"/>
                <w:kern w:val="0"/>
                <w:sz w:val="21"/>
                <w:szCs w:val="21"/>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2"/>
                <w:sz w:val="21"/>
                <w:szCs w:val="21"/>
                <w:u w:val="none"/>
                <w:lang w:val="en-US" w:eastAsia="zh-CN" w:bidi="ar-SA"/>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default" w:ascii="宋体" w:hAnsi="宋体" w:eastAsia="宋体" w:cs="宋体"/>
                <w:i w:val="0"/>
                <w:iCs w:val="0"/>
                <w:color w:val="000000"/>
                <w:kern w:val="2"/>
                <w:sz w:val="21"/>
                <w:szCs w:val="21"/>
                <w:u w:val="none"/>
                <w:lang w:val="en-US" w:eastAsia="zh-CN" w:bidi="ar-SA"/>
              </w:rPr>
              <w:t>群众满意率</w:t>
            </w:r>
          </w:p>
        </w:tc>
        <w:tc>
          <w:tcPr>
            <w:tcW w:w="36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default" w:ascii="宋体" w:hAnsi="宋体" w:eastAsia="宋体" w:cs="宋体"/>
                <w:i w:val="0"/>
                <w:iCs w:val="0"/>
                <w:color w:val="000000"/>
                <w:kern w:val="2"/>
                <w:sz w:val="21"/>
                <w:szCs w:val="21"/>
                <w:u w:val="none"/>
                <w:lang w:val="en-US" w:eastAsia="zh-CN" w:bidi="ar-SA"/>
              </w:rPr>
              <w:t>反映群众对宣传的满意情况</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default" w:ascii="宋体" w:hAnsi="宋体" w:eastAsia="宋体" w:cs="宋体"/>
                <w:i w:val="0"/>
                <w:iCs w:val="0"/>
                <w:color w:val="000000"/>
                <w:kern w:val="2"/>
                <w:sz w:val="21"/>
                <w:szCs w:val="21"/>
                <w:u w:val="none"/>
                <w:lang w:val="en-US" w:eastAsia="zh-CN" w:bidi="ar-SA"/>
              </w:rPr>
              <w:t>≥90%</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default" w:ascii="宋体" w:hAnsi="宋体" w:eastAsia="宋体" w:cs="宋体"/>
                <w:i w:val="0"/>
                <w:iCs w:val="0"/>
                <w:color w:val="000000"/>
                <w:kern w:val="2"/>
                <w:sz w:val="21"/>
                <w:szCs w:val="21"/>
                <w:u w:val="none"/>
                <w:lang w:val="en-US" w:eastAsia="zh-CN" w:bidi="ar-SA"/>
              </w:rPr>
              <w:t>历史工作数据</w:t>
            </w:r>
          </w:p>
        </w:tc>
      </w:tr>
    </w:tbl>
    <w:p>
      <w:pPr>
        <w:numPr>
          <w:ilvl w:val="0"/>
          <w:numId w:val="0"/>
        </w:numPr>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rPr>
        <w:t>网络舆情安全监控平台运行维护</w:t>
      </w:r>
      <w:r>
        <w:rPr>
          <w:rFonts w:ascii="Times New Roman" w:hAnsi="Times New Roman" w:eastAsia="仿宋_GB2312" w:cs="Times New Roman"/>
          <w:sz w:val="28"/>
        </w:rPr>
        <w:t>绩效目标表</w:t>
      </w:r>
    </w:p>
    <w:tbl>
      <w:tblPr>
        <w:tblStyle w:val="8"/>
        <w:tblW w:w="11985" w:type="dxa"/>
        <w:tblInd w:w="8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42"/>
        <w:gridCol w:w="1448"/>
        <w:gridCol w:w="1448"/>
        <w:gridCol w:w="3617"/>
        <w:gridCol w:w="2565"/>
        <w:gridCol w:w="19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2"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绩效目标</w:t>
            </w:r>
          </w:p>
        </w:tc>
        <w:tc>
          <w:tcPr>
            <w:tcW w:w="11043"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通过监测，确保舆情无遗漏、无延迟。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一级指标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二级指标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三级指标</w:t>
            </w:r>
          </w:p>
        </w:tc>
        <w:tc>
          <w:tcPr>
            <w:tcW w:w="3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绩效指标描述（指标内容）</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指标值</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default" w:ascii="宋体" w:hAnsi="宋体" w:eastAsia="宋体" w:cs="宋体"/>
                <w:b/>
                <w:bCs/>
                <w:i w:val="0"/>
                <w:iCs w:val="0"/>
                <w:color w:val="000000"/>
                <w:kern w:val="0"/>
                <w:sz w:val="21"/>
                <w:szCs w:val="21"/>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舆情信息数量</w:t>
            </w:r>
          </w:p>
        </w:tc>
        <w:tc>
          <w:tcPr>
            <w:tcW w:w="36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收集分析上报舆情信息数量</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≥100条</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系统后台数据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kern w:val="0"/>
                <w:sz w:val="21"/>
                <w:szCs w:val="21"/>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维护账号数量</w:t>
            </w:r>
          </w:p>
        </w:tc>
        <w:tc>
          <w:tcPr>
            <w:tcW w:w="36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维护系统账号数量</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≥8个</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系统后台数据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kern w:val="0"/>
                <w:sz w:val="21"/>
                <w:szCs w:val="21"/>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数据采集准确程度</w:t>
            </w:r>
          </w:p>
        </w:tc>
        <w:tc>
          <w:tcPr>
            <w:tcW w:w="36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网络舆情数据采集准确率　</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≥95%</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数据抓取及时性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kern w:val="0"/>
                <w:sz w:val="21"/>
                <w:szCs w:val="21"/>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数据抓取及时性</w:t>
            </w:r>
          </w:p>
        </w:tc>
        <w:tc>
          <w:tcPr>
            <w:tcW w:w="36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单条网络舆情数据抓取时间</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≤5分钟</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系统后台数据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kern w:val="0"/>
                <w:sz w:val="21"/>
                <w:szCs w:val="21"/>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信息处理及时性</w:t>
            </w:r>
          </w:p>
        </w:tc>
        <w:tc>
          <w:tcPr>
            <w:tcW w:w="36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处理舆情信息时效</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≤1小时</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历史工作数据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kern w:val="0"/>
                <w:sz w:val="21"/>
                <w:szCs w:val="21"/>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成本控制</w:t>
            </w:r>
          </w:p>
        </w:tc>
        <w:tc>
          <w:tcPr>
            <w:tcW w:w="36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反映成本控制情况</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≤12万元</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历史成本统计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default" w:ascii="宋体" w:hAnsi="宋体" w:eastAsia="宋体" w:cs="宋体"/>
                <w:b/>
                <w:bCs/>
                <w:i w:val="0"/>
                <w:iCs w:val="0"/>
                <w:color w:val="000000"/>
                <w:kern w:val="0"/>
                <w:sz w:val="21"/>
                <w:szCs w:val="21"/>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经济效益指标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检索时间缩短</w:t>
            </w:r>
          </w:p>
        </w:tc>
        <w:tc>
          <w:tcPr>
            <w:tcW w:w="36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检索信息时间缩短</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缩短</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历史工作数据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default" w:ascii="宋体" w:hAnsi="宋体" w:eastAsia="宋体" w:cs="宋体"/>
                <w:b/>
                <w:bCs/>
                <w:i w:val="0"/>
                <w:iCs w:val="0"/>
                <w:color w:val="000000"/>
                <w:kern w:val="0"/>
                <w:sz w:val="21"/>
                <w:szCs w:val="21"/>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员工使用满意度</w:t>
            </w:r>
          </w:p>
        </w:tc>
        <w:tc>
          <w:tcPr>
            <w:tcW w:w="36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员工使用满意情况</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满意</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历史工作经验</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75</w:t>
      </w:r>
      <w:r>
        <w:rPr>
          <w:rFonts w:ascii="Times New Roman" w:hAnsi="Times New Roman" w:eastAsia="仿宋_GB2312" w:cs="Times New Roman"/>
          <w:sz w:val="32"/>
          <w:szCs w:val="24"/>
        </w:rPr>
        <w:t>万元。具体内容见下表。</w:t>
      </w:r>
      <w:bookmarkEnd w:id="0"/>
    </w:p>
    <w:p>
      <w:pPr>
        <w:spacing w:line="584" w:lineRule="exact"/>
        <w:ind w:firstLine="640" w:firstLineChars="200"/>
        <w:outlineLvl w:val="0"/>
        <w:rPr>
          <w:rFonts w:ascii="Times New Roman" w:hAnsi="Times New Roman" w:eastAsia="仿宋_GB2312" w:cs="Times New Roman"/>
          <w:sz w:val="32"/>
          <w:szCs w:val="24"/>
        </w:rPr>
      </w:pPr>
    </w:p>
    <w:p>
      <w:pPr>
        <w:spacing w:line="584" w:lineRule="exact"/>
        <w:jc w:val="center"/>
        <w:outlineLvl w:val="1"/>
        <w:rPr>
          <w:rFonts w:ascii="方正小标宋_GBK" w:eastAsia="方正小标宋_GBK" w:cs="Times New Roman"/>
          <w:sz w:val="32"/>
        </w:rPr>
      </w:pPr>
      <w:bookmarkStart w:id="1"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1"/>
    </w:p>
    <w:p>
      <w:pPr>
        <w:spacing w:line="584" w:lineRule="exact"/>
        <w:jc w:val="left"/>
        <w:outlineLvl w:val="1"/>
        <w:rPr>
          <w:rFonts w:ascii="方正小标宋_GBK" w:eastAsia="方正小标宋_GBK" w:cs="Times New Roman"/>
          <w:sz w:val="32"/>
        </w:rPr>
      </w:pPr>
      <w:r>
        <w:rPr>
          <w:rFonts w:hint="eastAsia"/>
          <w:lang w:eastAsia="zh-CN"/>
        </w:rPr>
        <w:t>中共大城县委网络安全和信息化委员会办公室</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70"/>
        <w:gridCol w:w="915"/>
        <w:gridCol w:w="910"/>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285" w:type="dxa"/>
            <w:gridSpan w:val="2"/>
            <w:vAlign w:val="center"/>
          </w:tcPr>
          <w:p>
            <w:pPr>
              <w:pStyle w:val="16"/>
              <w:spacing w:line="584" w:lineRule="exact"/>
            </w:pPr>
            <w:r>
              <w:t>政府采购项目来源</w:t>
            </w:r>
          </w:p>
        </w:tc>
        <w:tc>
          <w:tcPr>
            <w:tcW w:w="910" w:type="dxa"/>
            <w:vMerge w:val="restart"/>
            <w:vAlign w:val="center"/>
          </w:tcPr>
          <w:p>
            <w:pPr>
              <w:pStyle w:val="16"/>
              <w:spacing w:line="584" w:lineRule="exact"/>
            </w:pPr>
            <w:r>
              <w:t>采购物品名称</w:t>
            </w:r>
          </w:p>
        </w:tc>
        <w:tc>
          <w:tcPr>
            <w:tcW w:w="1134" w:type="dxa"/>
            <w:vMerge w:val="restart"/>
            <w:vAlign w:val="center"/>
          </w:tcPr>
          <w:p>
            <w:pPr>
              <w:pStyle w:val="16"/>
              <w:spacing w:line="584" w:lineRule="exact"/>
            </w:pPr>
            <w:r>
              <w:t>政府采购目录序号</w:t>
            </w:r>
          </w:p>
        </w:tc>
        <w:tc>
          <w:tcPr>
            <w:tcW w:w="709" w:type="dxa"/>
            <w:vMerge w:val="restart"/>
            <w:vAlign w:val="center"/>
          </w:tcPr>
          <w:p>
            <w:pPr>
              <w:pStyle w:val="16"/>
              <w:spacing w:line="584" w:lineRule="exact"/>
            </w:pPr>
            <w:r>
              <w:t>计量  单位</w:t>
            </w:r>
          </w:p>
        </w:tc>
        <w:tc>
          <w:tcPr>
            <w:tcW w:w="850" w:type="dxa"/>
            <w:vMerge w:val="restart"/>
            <w:vAlign w:val="center"/>
          </w:tcPr>
          <w:p>
            <w:pPr>
              <w:pStyle w:val="16"/>
              <w:spacing w:line="584" w:lineRule="exact"/>
            </w:pPr>
            <w:r>
              <w:t>数量</w:t>
            </w:r>
          </w:p>
        </w:tc>
        <w:tc>
          <w:tcPr>
            <w:tcW w:w="850" w:type="dxa"/>
            <w:vMerge w:val="restart"/>
            <w:vAlign w:val="center"/>
          </w:tcPr>
          <w:p>
            <w:pPr>
              <w:pStyle w:val="16"/>
              <w:spacing w:line="584" w:lineRule="exact"/>
            </w:pPr>
            <w:r>
              <w:t>单价</w:t>
            </w:r>
          </w:p>
        </w:tc>
        <w:tc>
          <w:tcPr>
            <w:tcW w:w="7712" w:type="dxa"/>
            <w:gridSpan w:val="8"/>
            <w:vAlign w:val="center"/>
          </w:tcPr>
          <w:p>
            <w:pPr>
              <w:pStyle w:val="16"/>
              <w:spacing w:line="584" w:lineRule="exact"/>
            </w:pPr>
            <w:r>
              <w:t>政府采购金额（当年</w:t>
            </w:r>
            <w:r>
              <w:rPr>
                <w:rFonts w:hint="eastAsia"/>
                <w:lang w:eastAsia="zh-CN"/>
              </w:rPr>
              <w:t>单位</w:t>
            </w:r>
            <w:r>
              <w:t>预算安排资金）</w:t>
            </w:r>
          </w:p>
        </w:tc>
        <w:tc>
          <w:tcPr>
            <w:tcW w:w="964" w:type="dxa"/>
            <w:vMerge w:val="restart"/>
            <w:vAlign w:val="center"/>
          </w:tcPr>
          <w:p>
            <w:pPr>
              <w:pStyle w:val="16"/>
              <w:spacing w:line="584" w:lineRule="exact"/>
            </w:pPr>
            <w:r>
              <w:t>202</w:t>
            </w:r>
            <w:r>
              <w:rPr>
                <w:rFonts w:hint="eastAsia" w:eastAsiaTheme="minor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370" w:type="dxa"/>
            <w:vAlign w:val="center"/>
          </w:tcPr>
          <w:p>
            <w:pPr>
              <w:pStyle w:val="16"/>
              <w:spacing w:line="584" w:lineRule="exact"/>
            </w:pPr>
            <w:r>
              <w:t>项目名称</w:t>
            </w:r>
          </w:p>
        </w:tc>
        <w:tc>
          <w:tcPr>
            <w:tcW w:w="915" w:type="dxa"/>
            <w:vAlign w:val="center"/>
          </w:tcPr>
          <w:p>
            <w:pPr>
              <w:pStyle w:val="16"/>
              <w:keepNext w:val="0"/>
              <w:keepLines w:val="0"/>
              <w:pageBreakBefore w:val="0"/>
              <w:kinsoku/>
              <w:wordWrap/>
              <w:overflowPunct/>
              <w:topLinePunct w:val="0"/>
              <w:autoSpaceDE/>
              <w:autoSpaceDN/>
              <w:bidi w:val="0"/>
              <w:adjustRightInd/>
              <w:snapToGrid w:val="0"/>
              <w:spacing w:line="360" w:lineRule="exact"/>
              <w:textAlignment w:val="auto"/>
            </w:pPr>
            <w:r>
              <w:t>预算    资金</w:t>
            </w:r>
          </w:p>
        </w:tc>
        <w:tc>
          <w:tcPr>
            <w:tcW w:w="910" w:type="dxa"/>
            <w:vMerge w:val="continue"/>
          </w:tcPr>
          <w:p>
            <w:pPr>
              <w:keepNext w:val="0"/>
              <w:keepLines w:val="0"/>
              <w:pageBreakBefore w:val="0"/>
              <w:kinsoku/>
              <w:wordWrap/>
              <w:overflowPunct/>
              <w:topLinePunct w:val="0"/>
              <w:autoSpaceDE/>
              <w:autoSpaceDN/>
              <w:bidi w:val="0"/>
              <w:adjustRightInd/>
              <w:snapToGrid w:val="0"/>
              <w:spacing w:line="360" w:lineRule="exact"/>
              <w:textAlignment w:val="auto"/>
            </w:pPr>
          </w:p>
        </w:tc>
        <w:tc>
          <w:tcPr>
            <w:tcW w:w="1134" w:type="dxa"/>
            <w:vMerge w:val="continue"/>
          </w:tcPr>
          <w:p>
            <w:pPr>
              <w:keepNext w:val="0"/>
              <w:keepLines w:val="0"/>
              <w:pageBreakBefore w:val="0"/>
              <w:kinsoku/>
              <w:wordWrap/>
              <w:overflowPunct/>
              <w:topLinePunct w:val="0"/>
              <w:autoSpaceDE/>
              <w:autoSpaceDN/>
              <w:bidi w:val="0"/>
              <w:adjustRightInd/>
              <w:snapToGrid w:val="0"/>
              <w:spacing w:line="360" w:lineRule="exact"/>
              <w:textAlignment w:val="auto"/>
            </w:pPr>
          </w:p>
        </w:tc>
        <w:tc>
          <w:tcPr>
            <w:tcW w:w="709" w:type="dxa"/>
            <w:vMerge w:val="continue"/>
          </w:tcPr>
          <w:p>
            <w:pPr>
              <w:keepNext w:val="0"/>
              <w:keepLines w:val="0"/>
              <w:pageBreakBefore w:val="0"/>
              <w:kinsoku/>
              <w:wordWrap/>
              <w:overflowPunct/>
              <w:topLinePunct w:val="0"/>
              <w:autoSpaceDE/>
              <w:autoSpaceDN/>
              <w:bidi w:val="0"/>
              <w:adjustRightInd/>
              <w:snapToGrid w:val="0"/>
              <w:spacing w:line="360" w:lineRule="exact"/>
              <w:textAlignment w:val="auto"/>
            </w:pPr>
          </w:p>
        </w:tc>
        <w:tc>
          <w:tcPr>
            <w:tcW w:w="850" w:type="dxa"/>
            <w:vMerge w:val="continue"/>
          </w:tcPr>
          <w:p>
            <w:pPr>
              <w:keepNext w:val="0"/>
              <w:keepLines w:val="0"/>
              <w:pageBreakBefore w:val="0"/>
              <w:kinsoku/>
              <w:wordWrap/>
              <w:overflowPunct/>
              <w:topLinePunct w:val="0"/>
              <w:autoSpaceDE/>
              <w:autoSpaceDN/>
              <w:bidi w:val="0"/>
              <w:adjustRightInd/>
              <w:snapToGrid w:val="0"/>
              <w:spacing w:line="360" w:lineRule="exact"/>
              <w:textAlignment w:val="auto"/>
            </w:pPr>
          </w:p>
        </w:tc>
        <w:tc>
          <w:tcPr>
            <w:tcW w:w="850" w:type="dxa"/>
            <w:vMerge w:val="continue"/>
          </w:tcPr>
          <w:p>
            <w:pPr>
              <w:keepNext w:val="0"/>
              <w:keepLines w:val="0"/>
              <w:pageBreakBefore w:val="0"/>
              <w:kinsoku/>
              <w:wordWrap/>
              <w:overflowPunct/>
              <w:topLinePunct w:val="0"/>
              <w:autoSpaceDE/>
              <w:autoSpaceDN/>
              <w:bidi w:val="0"/>
              <w:adjustRightInd/>
              <w:snapToGrid w:val="0"/>
              <w:spacing w:line="360" w:lineRule="exact"/>
              <w:textAlignment w:val="auto"/>
            </w:pPr>
          </w:p>
        </w:tc>
        <w:tc>
          <w:tcPr>
            <w:tcW w:w="964" w:type="dxa"/>
            <w:vAlign w:val="center"/>
          </w:tcPr>
          <w:p>
            <w:pPr>
              <w:pStyle w:val="16"/>
              <w:keepNext w:val="0"/>
              <w:keepLines w:val="0"/>
              <w:pageBreakBefore w:val="0"/>
              <w:kinsoku/>
              <w:wordWrap/>
              <w:overflowPunct/>
              <w:topLinePunct w:val="0"/>
              <w:autoSpaceDE/>
              <w:autoSpaceDN/>
              <w:bidi w:val="0"/>
              <w:adjustRightInd/>
              <w:snapToGrid w:val="0"/>
              <w:spacing w:line="360" w:lineRule="exact"/>
              <w:textAlignment w:val="auto"/>
            </w:pPr>
            <w:r>
              <w:t>合计</w:t>
            </w:r>
          </w:p>
        </w:tc>
        <w:tc>
          <w:tcPr>
            <w:tcW w:w="964" w:type="dxa"/>
            <w:vAlign w:val="center"/>
          </w:tcPr>
          <w:p>
            <w:pPr>
              <w:pStyle w:val="16"/>
              <w:keepNext w:val="0"/>
              <w:keepLines w:val="0"/>
              <w:pageBreakBefore w:val="0"/>
              <w:kinsoku/>
              <w:wordWrap/>
              <w:overflowPunct/>
              <w:topLinePunct w:val="0"/>
              <w:autoSpaceDE/>
              <w:autoSpaceDN/>
              <w:bidi w:val="0"/>
              <w:adjustRightInd/>
              <w:snapToGrid w:val="0"/>
              <w:spacing w:line="360" w:lineRule="exact"/>
              <w:textAlignment w:val="auto"/>
            </w:pPr>
            <w:r>
              <w:t>一般公共预算拨款</w:t>
            </w:r>
          </w:p>
        </w:tc>
        <w:tc>
          <w:tcPr>
            <w:tcW w:w="964" w:type="dxa"/>
            <w:vAlign w:val="center"/>
          </w:tcPr>
          <w:p>
            <w:pPr>
              <w:pStyle w:val="16"/>
              <w:keepNext w:val="0"/>
              <w:keepLines w:val="0"/>
              <w:pageBreakBefore w:val="0"/>
              <w:kinsoku/>
              <w:wordWrap/>
              <w:overflowPunct/>
              <w:topLinePunct w:val="0"/>
              <w:autoSpaceDE/>
              <w:autoSpaceDN/>
              <w:bidi w:val="0"/>
              <w:adjustRightInd/>
              <w:snapToGrid w:val="0"/>
              <w:spacing w:line="360" w:lineRule="exact"/>
              <w:textAlignment w:val="auto"/>
            </w:pPr>
            <w:r>
              <w:t>基金预算拨款</w:t>
            </w:r>
          </w:p>
        </w:tc>
        <w:tc>
          <w:tcPr>
            <w:tcW w:w="964" w:type="dxa"/>
            <w:vAlign w:val="center"/>
          </w:tcPr>
          <w:p>
            <w:pPr>
              <w:pStyle w:val="16"/>
              <w:keepNext w:val="0"/>
              <w:keepLines w:val="0"/>
              <w:pageBreakBefore w:val="0"/>
              <w:kinsoku/>
              <w:wordWrap/>
              <w:overflowPunct/>
              <w:topLinePunct w:val="0"/>
              <w:autoSpaceDE/>
              <w:autoSpaceDN/>
              <w:bidi w:val="0"/>
              <w:adjustRightInd/>
              <w:snapToGrid w:val="0"/>
              <w:spacing w:line="360" w:lineRule="exact"/>
              <w:textAlignment w:val="auto"/>
            </w:pPr>
            <w:r>
              <w:t>国有资本经营预算拨款</w:t>
            </w:r>
          </w:p>
        </w:tc>
        <w:tc>
          <w:tcPr>
            <w:tcW w:w="964" w:type="dxa"/>
            <w:vAlign w:val="center"/>
          </w:tcPr>
          <w:p>
            <w:pPr>
              <w:pStyle w:val="16"/>
              <w:keepNext w:val="0"/>
              <w:keepLines w:val="0"/>
              <w:pageBreakBefore w:val="0"/>
              <w:kinsoku/>
              <w:wordWrap/>
              <w:overflowPunct/>
              <w:topLinePunct w:val="0"/>
              <w:autoSpaceDE/>
              <w:autoSpaceDN/>
              <w:bidi w:val="0"/>
              <w:adjustRightInd/>
              <w:snapToGrid w:val="0"/>
              <w:spacing w:line="360" w:lineRule="exact"/>
              <w:textAlignment w:val="auto"/>
            </w:pPr>
            <w:r>
              <w:t>财政专户核拨</w:t>
            </w:r>
          </w:p>
        </w:tc>
        <w:tc>
          <w:tcPr>
            <w:tcW w:w="964" w:type="dxa"/>
            <w:vAlign w:val="center"/>
          </w:tcPr>
          <w:p>
            <w:pPr>
              <w:pStyle w:val="16"/>
              <w:keepNext w:val="0"/>
              <w:keepLines w:val="0"/>
              <w:pageBreakBefore w:val="0"/>
              <w:kinsoku/>
              <w:wordWrap/>
              <w:overflowPunct/>
              <w:topLinePunct w:val="0"/>
              <w:autoSpaceDE/>
              <w:autoSpaceDN/>
              <w:bidi w:val="0"/>
              <w:adjustRightInd/>
              <w:snapToGrid w:val="0"/>
              <w:spacing w:line="360" w:lineRule="exact"/>
              <w:textAlignment w:val="auto"/>
            </w:pPr>
            <w:r>
              <w:t>单位    资金</w:t>
            </w:r>
          </w:p>
        </w:tc>
        <w:tc>
          <w:tcPr>
            <w:tcW w:w="964" w:type="dxa"/>
            <w:vAlign w:val="center"/>
          </w:tcPr>
          <w:p>
            <w:pPr>
              <w:pStyle w:val="16"/>
              <w:keepNext w:val="0"/>
              <w:keepLines w:val="0"/>
              <w:pageBreakBefore w:val="0"/>
              <w:kinsoku/>
              <w:wordWrap/>
              <w:overflowPunct/>
              <w:topLinePunct w:val="0"/>
              <w:autoSpaceDE/>
              <w:autoSpaceDN/>
              <w:bidi w:val="0"/>
              <w:adjustRightInd/>
              <w:snapToGrid w:val="0"/>
              <w:spacing w:line="360" w:lineRule="exact"/>
              <w:textAlignment w:val="auto"/>
            </w:pPr>
            <w:r>
              <w:t>财政拨    款结转</w:t>
            </w:r>
          </w:p>
        </w:tc>
        <w:tc>
          <w:tcPr>
            <w:tcW w:w="964" w:type="dxa"/>
            <w:vAlign w:val="center"/>
          </w:tcPr>
          <w:p>
            <w:pPr>
              <w:pStyle w:val="16"/>
              <w:keepNext w:val="0"/>
              <w:keepLines w:val="0"/>
              <w:pageBreakBefore w:val="0"/>
              <w:kinsoku/>
              <w:wordWrap/>
              <w:overflowPunct/>
              <w:topLinePunct w:val="0"/>
              <w:autoSpaceDE/>
              <w:autoSpaceDN/>
              <w:bidi w:val="0"/>
              <w:adjustRightInd/>
              <w:snapToGrid w:val="0"/>
              <w:spacing w:line="360" w:lineRule="exact"/>
              <w:textAlignment w:val="auto"/>
            </w:pPr>
            <w:r>
              <w:t>非财政    拨款结    转结余</w:t>
            </w:r>
          </w:p>
        </w:tc>
        <w:tc>
          <w:tcPr>
            <w:tcW w:w="964"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70" w:type="dxa"/>
            <w:vAlign w:val="center"/>
          </w:tcPr>
          <w:p>
            <w:pPr>
              <w:spacing w:line="300" w:lineRule="exact"/>
              <w:jc w:val="center"/>
            </w:pPr>
            <w:r>
              <w:rPr>
                <w:rFonts w:hint="eastAsia" w:ascii="方正书宋_GBK" w:eastAsia="方正书宋_GBK" w:cs="Times New Roman"/>
                <w:b/>
              </w:rPr>
              <w:t>网络媒体战略合作经费</w:t>
            </w:r>
          </w:p>
        </w:tc>
        <w:tc>
          <w:tcPr>
            <w:tcW w:w="915" w:type="dxa"/>
            <w:vAlign w:val="center"/>
          </w:tcPr>
          <w:p>
            <w:pPr>
              <w:spacing w:line="300" w:lineRule="exact"/>
              <w:jc w:val="left"/>
            </w:pPr>
            <w:r>
              <w:rPr>
                <w:rFonts w:hint="eastAsia" w:ascii="仿宋_GB2312" w:hAnsi="仿宋_GB2312" w:eastAsia="仿宋_GB2312" w:cs="仿宋_GB2312"/>
              </w:rPr>
              <w:t>75.00</w:t>
            </w:r>
          </w:p>
        </w:tc>
        <w:tc>
          <w:tcPr>
            <w:tcW w:w="910" w:type="dxa"/>
            <w:vAlign w:val="center"/>
          </w:tcPr>
          <w:p>
            <w:pPr>
              <w:spacing w:line="300" w:lineRule="exact"/>
              <w:jc w:val="left"/>
            </w:pPr>
            <w:r>
              <w:rPr>
                <w:rFonts w:hint="eastAsia" w:ascii="仿宋_GB2312" w:hAnsi="仿宋_GB2312" w:eastAsia="仿宋_GB2312" w:cs="仿宋_GB2312"/>
              </w:rPr>
              <w:t>新闻服务</w:t>
            </w:r>
          </w:p>
        </w:tc>
        <w:tc>
          <w:tcPr>
            <w:tcW w:w="1134" w:type="dxa"/>
            <w:vAlign w:val="center"/>
          </w:tcPr>
          <w:p>
            <w:pPr>
              <w:spacing w:line="300" w:lineRule="exact"/>
              <w:jc w:val="left"/>
            </w:pPr>
            <w:r>
              <w:rPr>
                <w:rFonts w:hint="eastAsia" w:ascii="仿宋_GB2312" w:hAnsi="仿宋_GB2312" w:eastAsia="仿宋_GB2312" w:cs="仿宋_GB2312"/>
              </w:rPr>
              <w:t>C2001</w:t>
            </w:r>
          </w:p>
        </w:tc>
        <w:tc>
          <w:tcPr>
            <w:tcW w:w="709" w:type="dxa"/>
            <w:vAlign w:val="center"/>
          </w:tcPr>
          <w:p>
            <w:pPr>
              <w:spacing w:line="300" w:lineRule="exact"/>
              <w:jc w:val="left"/>
            </w:pPr>
            <w:r>
              <w:rPr>
                <w:rFonts w:hint="eastAsia" w:ascii="仿宋_GB2312" w:hAnsi="仿宋_GB2312" w:eastAsia="仿宋_GB2312" w:cs="仿宋_GB2312"/>
              </w:rPr>
              <w:t>年</w:t>
            </w:r>
          </w:p>
        </w:tc>
        <w:tc>
          <w:tcPr>
            <w:tcW w:w="850" w:type="dxa"/>
            <w:vAlign w:val="center"/>
          </w:tcPr>
          <w:p>
            <w:pPr>
              <w:spacing w:line="300" w:lineRule="exact"/>
              <w:jc w:val="left"/>
            </w:pPr>
            <w:r>
              <w:rPr>
                <w:rFonts w:hint="eastAsia" w:ascii="仿宋_GB2312" w:hAnsi="仿宋_GB2312" w:eastAsia="仿宋_GB2312" w:cs="仿宋_GB2312"/>
              </w:rPr>
              <w:t>1</w:t>
            </w:r>
          </w:p>
        </w:tc>
        <w:tc>
          <w:tcPr>
            <w:tcW w:w="850" w:type="dxa"/>
            <w:vAlign w:val="center"/>
          </w:tcPr>
          <w:p>
            <w:pPr>
              <w:spacing w:line="300" w:lineRule="exact"/>
              <w:jc w:val="left"/>
            </w:pPr>
            <w:r>
              <w:rPr>
                <w:rFonts w:hint="eastAsia" w:ascii="仿宋_GB2312" w:hAnsi="仿宋_GB2312" w:eastAsia="仿宋_GB2312" w:cs="仿宋_GB2312"/>
              </w:rPr>
              <w:t>75.00</w:t>
            </w:r>
          </w:p>
        </w:tc>
        <w:tc>
          <w:tcPr>
            <w:tcW w:w="964" w:type="dxa"/>
            <w:vAlign w:val="center"/>
          </w:tcPr>
          <w:p>
            <w:pPr>
              <w:spacing w:line="300" w:lineRule="exact"/>
              <w:jc w:val="left"/>
            </w:pPr>
            <w:r>
              <w:rPr>
                <w:rFonts w:hint="eastAsia" w:ascii="仿宋_GB2312" w:hAnsi="仿宋_GB2312" w:eastAsia="仿宋_GB2312" w:cs="仿宋_GB2312"/>
              </w:rPr>
              <w:t>75.00</w:t>
            </w:r>
          </w:p>
        </w:tc>
        <w:tc>
          <w:tcPr>
            <w:tcW w:w="964" w:type="dxa"/>
            <w:vAlign w:val="center"/>
          </w:tcPr>
          <w:p>
            <w:pPr>
              <w:spacing w:line="300" w:lineRule="exact"/>
              <w:jc w:val="left"/>
              <w:rPr>
                <w:rFonts w:hint="default"/>
                <w:lang w:val="en-US"/>
              </w:rPr>
            </w:pPr>
            <w:r>
              <w:rPr>
                <w:rFonts w:hint="eastAsia" w:ascii="仿宋_GB2312" w:hAnsi="仿宋_GB2312" w:eastAsia="仿宋_GB2312" w:cs="仿宋_GB2312"/>
                <w:lang w:val="en-US" w:eastAsia="zh-CN"/>
              </w:rPr>
              <w:t>75.00</w:t>
            </w:r>
          </w:p>
        </w:tc>
        <w:tc>
          <w:tcPr>
            <w:tcW w:w="964" w:type="dxa"/>
            <w:vAlign w:val="center"/>
          </w:tcPr>
          <w:p>
            <w:pPr>
              <w:spacing w:line="300" w:lineRule="exact"/>
              <w:jc w:val="center"/>
            </w:pPr>
          </w:p>
        </w:tc>
        <w:tc>
          <w:tcPr>
            <w:tcW w:w="964" w:type="dxa"/>
            <w:vAlign w:val="center"/>
          </w:tcPr>
          <w:p>
            <w:pPr>
              <w:spacing w:line="300" w:lineRule="exact"/>
              <w:jc w:val="lef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rPr>
                <w:rFonts w:hint="default" w:eastAsia="方正书宋_GBK"/>
                <w:lang w:val="en-US" w:eastAsia="zh-CN"/>
              </w:rPr>
            </w:pPr>
            <w:r>
              <w:rPr>
                <w:rFonts w:hint="eastAsia"/>
                <w:lang w:val="en-US" w:eastAsia="zh-CN"/>
              </w:rPr>
              <w:t>75.00</w:t>
            </w:r>
          </w:p>
        </w:tc>
      </w:tr>
    </w:tbl>
    <w:p>
      <w:pPr>
        <w:spacing w:line="584"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84" w:lineRule="exact"/>
        <w:ind w:firstLine="42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中共大城县委网络安全和信息化委员会办公室</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108.6331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lang w:val="en-US" w:eastAsia="zh-CN"/>
              </w:rPr>
              <w:t xml:space="preserve"> 中共大城县委网络安全和信息化委员会办公室</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rPr>
            </w:pPr>
            <w:r>
              <w:rPr>
                <w:rFonts w:hint="eastAsia" w:ascii="Times New Roman" w:hAnsi="Times New Roman" w:eastAsia="仿宋_GB2312" w:cs="Times New Roman"/>
                <w:sz w:val="22"/>
                <w:lang w:val="en-US" w:eastAsia="zh-CN"/>
              </w:rPr>
              <w:t>102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108.6331</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2000000000000000000"/>
    <w:charset w:val="86"/>
    <w:family w:val="script"/>
    <w:pitch w:val="default"/>
    <w:sig w:usb0="00000000" w:usb1="00000000" w:usb2="00082016" w:usb3="00000000" w:csb0="00040001" w:csb1="00000000"/>
  </w:font>
  <w:font w:name="方正仿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3"/>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A5ODQ3ZjBhOTM5OTk5MDA1OTg1NjhhZWUxNmUyNDgifQ=="/>
  </w:docVars>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86B"/>
    <w:rsid w:val="00371FDA"/>
    <w:rsid w:val="0039520A"/>
    <w:rsid w:val="003A04FB"/>
    <w:rsid w:val="003B6D37"/>
    <w:rsid w:val="003D2E03"/>
    <w:rsid w:val="004041B3"/>
    <w:rsid w:val="00415C0E"/>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A16E6C"/>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772C1"/>
    <w:rsid w:val="00C77976"/>
    <w:rsid w:val="00CA7176"/>
    <w:rsid w:val="00CC0FB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13E306DA"/>
    <w:rsid w:val="1B1D7A72"/>
    <w:rsid w:val="1B6E4190"/>
    <w:rsid w:val="1C502F39"/>
    <w:rsid w:val="38F17E51"/>
    <w:rsid w:val="3E8B454E"/>
    <w:rsid w:val="3F655022"/>
    <w:rsid w:val="55440103"/>
    <w:rsid w:val="55922D26"/>
    <w:rsid w:val="57E040E2"/>
    <w:rsid w:val="66B5191C"/>
    <w:rsid w:val="673B57FC"/>
    <w:rsid w:val="687D1153"/>
    <w:rsid w:val="6B1D22BB"/>
    <w:rsid w:val="6C2731BD"/>
    <w:rsid w:val="7E4F64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semiHidden/>
    <w:unhideWhenUsed/>
    <w:qFormat/>
    <w:uiPriority w:val="99"/>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 w:type="paragraph" w:customStyle="1" w:styleId="16">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8">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9">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0">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1">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2">
    <w:name w:val="单元格样式5"/>
    <w:basedOn w:val="1"/>
    <w:qFormat/>
    <w:uiPriority w:val="0"/>
    <w:pPr>
      <w:widowControl/>
      <w:jc w:val="left"/>
    </w:pPr>
    <w:rPr>
      <w:rFonts w:ascii="方正书宋_GBK" w:hAnsi="方正书宋_GBK" w:eastAsia="方正书宋_GBK" w:cs="方正书宋_GBK"/>
      <w:b/>
      <w:kern w:val="0"/>
      <w:szCs w:val="24"/>
      <w:lang w:eastAsia="uk-U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444444"/>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45A6AA-0715-40A4-8273-0FDE2CB9203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2564</Words>
  <Characters>2703</Characters>
  <Lines>35</Lines>
  <Paragraphs>10</Paragraphs>
  <TotalTime>11</TotalTime>
  <ScaleCrop>false</ScaleCrop>
  <LinksUpToDate>false</LinksUpToDate>
  <CharactersWithSpaces>2845</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2023-01-29T01:01:00Z</cp:lastPrinted>
  <dcterms:modified xsi:type="dcterms:W3CDTF">2023-03-27T03:24:24Z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E0DCD2FAFD4C4EC78104898D7A030BBD</vt:lpwstr>
  </property>
</Properties>
</file>