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4" w:lineRule="exact"/>
        <w:jc w:val="center"/>
        <w:rPr>
          <w:rFonts w:cs="Times New Roman"/>
        </w:rPr>
      </w:pPr>
      <w:r>
        <w:rPr>
          <w:rFonts w:hint="eastAsia" w:ascii="方正小标宋简体" w:eastAsia="方正小标宋简体" w:cs="方正小标宋简体"/>
          <w:color w:val="484747"/>
          <w:sz w:val="44"/>
          <w:szCs w:val="44"/>
        </w:rPr>
        <w:t>部门决算公开目录</w:t>
      </w:r>
    </w:p>
    <w:p>
      <w:pPr>
        <w:widowControl/>
        <w:spacing w:line="584" w:lineRule="exact"/>
        <w:ind w:firstLine="64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32"/>
          <w:szCs w:val="32"/>
        </w:rPr>
        <w:t>一、中国共产主义青年团大城县委员会概况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（一）部门职责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（二）机构设置</w:t>
      </w:r>
    </w:p>
    <w:p>
      <w:pPr>
        <w:widowControl/>
        <w:spacing w:line="584" w:lineRule="exact"/>
        <w:ind w:firstLine="64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32"/>
          <w:szCs w:val="32"/>
        </w:rPr>
        <w:t>二、中国共产主义青年团大城县委员会</w:t>
      </w:r>
      <w:r>
        <w:rPr>
          <w:rFonts w:eastAsia="黑体"/>
          <w:color w:val="484747"/>
          <w:sz w:val="32"/>
          <w:szCs w:val="32"/>
        </w:rPr>
        <w:t>2017</w:t>
      </w:r>
      <w:r>
        <w:rPr>
          <w:rFonts w:hint="eastAsia" w:ascii="黑体" w:hAnsi="宋体" w:eastAsia="黑体" w:cs="黑体"/>
          <w:color w:val="484747"/>
          <w:sz w:val="32"/>
          <w:szCs w:val="32"/>
        </w:rPr>
        <w:t>年度决算报表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（一）收入支出决算总表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（二）收入决算表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（三）支出决算表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（四）财政拨款收入支出决算总表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（五）一般公共预算财政拨款支出决算表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（六）一般公共预算财政拨款基本支出决算经济分类表</w:t>
      </w:r>
    </w:p>
    <w:p>
      <w:pPr>
        <w:widowControl/>
        <w:spacing w:line="584" w:lineRule="exact"/>
        <w:ind w:firstLine="1280" w:firstLineChars="4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（七）政府性基金预算财政拨款收入支出决算表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（八）国有资本经营预算财政拨款支出决算表</w:t>
      </w:r>
    </w:p>
    <w:p>
      <w:pPr>
        <w:widowControl/>
        <w:spacing w:line="584" w:lineRule="exact"/>
        <w:ind w:firstLine="1280" w:firstLineChars="4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（九）</w:t>
      </w:r>
      <w:r>
        <w:rPr>
          <w:rFonts w:eastAsia="Times New Roman" w:cs="Times New Roman"/>
          <w:color w:val="484747"/>
          <w:sz w:val="32"/>
          <w:szCs w:val="32"/>
        </w:rPr>
        <w:t>“</w:t>
      </w:r>
      <w:r>
        <w:rPr>
          <w:rFonts w:hint="eastAsia" w:ascii="宋体" w:hAnsi="宋体" w:cs="宋体"/>
          <w:color w:val="484747"/>
          <w:sz w:val="32"/>
          <w:szCs w:val="32"/>
        </w:rPr>
        <w:t>三公</w:t>
      </w:r>
      <w:r>
        <w:rPr>
          <w:rFonts w:eastAsia="Times New Roman" w:cs="Times New Roman"/>
          <w:color w:val="484747"/>
          <w:sz w:val="32"/>
          <w:szCs w:val="32"/>
        </w:rPr>
        <w:t>”</w:t>
      </w:r>
      <w:r>
        <w:rPr>
          <w:rFonts w:hint="eastAsia" w:ascii="宋体" w:hAnsi="宋体" w:cs="宋体"/>
          <w:color w:val="484747"/>
          <w:sz w:val="32"/>
          <w:szCs w:val="32"/>
        </w:rPr>
        <w:t>经费及相关信息统计表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（十）政府采购情况表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32"/>
          <w:szCs w:val="32"/>
        </w:rPr>
        <w:t>三、中国共产主义青年团大城县委员会</w:t>
      </w:r>
      <w:r>
        <w:rPr>
          <w:rFonts w:eastAsia="黑体"/>
          <w:color w:val="484747"/>
          <w:sz w:val="32"/>
          <w:szCs w:val="32"/>
        </w:rPr>
        <w:t>2017</w:t>
      </w:r>
      <w:r>
        <w:rPr>
          <w:rFonts w:hint="eastAsia" w:ascii="黑体" w:hAnsi="宋体" w:eastAsia="黑体" w:cs="黑体"/>
          <w:color w:val="484747"/>
          <w:sz w:val="32"/>
          <w:szCs w:val="32"/>
        </w:rPr>
        <w:t>年度决算情况说明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（一）收入支出决算总体情况说明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（二）收入决算情况说明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（三）支出决算情况说明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（四）财政拨款收入支出决算总体情况说明</w:t>
      </w: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（五）</w:t>
      </w:r>
      <w:r>
        <w:rPr>
          <w:rFonts w:eastAsia="Times New Roman" w:cs="Times New Roman"/>
          <w:color w:val="484747"/>
          <w:sz w:val="32"/>
          <w:szCs w:val="32"/>
        </w:rPr>
        <w:t>“</w:t>
      </w:r>
      <w:r>
        <w:rPr>
          <w:rFonts w:hint="eastAsia" w:ascii="宋体" w:hAnsi="宋体" w:cs="宋体"/>
          <w:color w:val="484747"/>
          <w:sz w:val="32"/>
          <w:szCs w:val="32"/>
        </w:rPr>
        <w:t>三公</w:t>
      </w:r>
      <w:r>
        <w:rPr>
          <w:rFonts w:eastAsia="Times New Roman" w:cs="Times New Roman"/>
          <w:color w:val="484747"/>
          <w:sz w:val="32"/>
          <w:szCs w:val="32"/>
        </w:rPr>
        <w:t>”</w:t>
      </w:r>
      <w:r>
        <w:rPr>
          <w:rFonts w:hint="eastAsia" w:ascii="宋体" w:hAnsi="宋体" w:cs="宋体"/>
          <w:color w:val="484747"/>
          <w:sz w:val="32"/>
          <w:szCs w:val="32"/>
        </w:rPr>
        <w:t>经费支出决算情况说明</w:t>
      </w:r>
    </w:p>
    <w:p>
      <w:pPr>
        <w:widowControl/>
        <w:spacing w:line="584" w:lineRule="exact"/>
        <w:ind w:firstLine="1273" w:firstLineChars="398"/>
        <w:jc w:val="left"/>
        <w:rPr>
          <w:rFonts w:eastAsia="Times New Roman" w:cs="Times New Roman"/>
          <w:color w:val="484747"/>
          <w:sz w:val="32"/>
          <w:szCs w:val="32"/>
        </w:rPr>
      </w:pPr>
    </w:p>
    <w:p>
      <w:pPr>
        <w:widowControl/>
        <w:spacing w:line="584" w:lineRule="exact"/>
        <w:ind w:firstLine="1273" w:firstLineChars="398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（六）预算绩效管理工作开展情况说明</w:t>
      </w:r>
    </w:p>
    <w:p>
      <w:pPr>
        <w:widowControl/>
        <w:spacing w:line="584" w:lineRule="exact"/>
        <w:ind w:firstLine="1273" w:firstLineChars="398"/>
        <w:jc w:val="left"/>
        <w:rPr>
          <w:rFonts w:eastAsia="Times New Roman" w:cs="Times New Roman"/>
          <w:color w:val="484747"/>
          <w:sz w:val="32"/>
          <w:szCs w:val="32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（七）其他重要事项的说明</w:t>
      </w:r>
    </w:p>
    <w:p>
      <w:pPr>
        <w:widowControl/>
        <w:spacing w:line="584" w:lineRule="exact"/>
        <w:ind w:firstLine="2233" w:firstLineChars="698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1.</w:t>
      </w:r>
      <w:r>
        <w:rPr>
          <w:rFonts w:hint="eastAsia" w:ascii="宋体" w:hAnsi="宋体" w:cs="宋体"/>
          <w:color w:val="484747"/>
          <w:sz w:val="32"/>
          <w:szCs w:val="32"/>
        </w:rPr>
        <w:t>机关运行经费的支出情况的说明</w:t>
      </w:r>
    </w:p>
    <w:p>
      <w:pPr>
        <w:widowControl/>
        <w:spacing w:line="584" w:lineRule="exact"/>
        <w:ind w:firstLine="2233" w:firstLineChars="698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2.</w:t>
      </w:r>
      <w:r>
        <w:rPr>
          <w:rFonts w:hint="eastAsia" w:ascii="宋体" w:hAnsi="宋体" w:cs="宋体"/>
          <w:color w:val="484747"/>
          <w:sz w:val="32"/>
          <w:szCs w:val="32"/>
        </w:rPr>
        <w:t>政府采购情况的说明</w:t>
      </w:r>
    </w:p>
    <w:p>
      <w:pPr>
        <w:widowControl/>
        <w:spacing w:line="584" w:lineRule="exact"/>
        <w:ind w:firstLine="2233" w:firstLineChars="698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3.</w:t>
      </w:r>
      <w:r>
        <w:rPr>
          <w:rFonts w:hint="eastAsia" w:ascii="宋体" w:hAnsi="宋体" w:cs="宋体"/>
          <w:color w:val="484747"/>
          <w:sz w:val="32"/>
          <w:szCs w:val="32"/>
        </w:rPr>
        <w:t>国有资产占用情况</w:t>
      </w:r>
    </w:p>
    <w:p>
      <w:pPr>
        <w:widowControl/>
        <w:spacing w:line="584" w:lineRule="exact"/>
        <w:ind w:firstLine="2233" w:firstLineChars="698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4.</w:t>
      </w:r>
      <w:r>
        <w:rPr>
          <w:rFonts w:hint="eastAsia" w:ascii="宋体" w:hAnsi="宋体" w:cs="宋体"/>
          <w:color w:val="484747"/>
          <w:sz w:val="32"/>
          <w:szCs w:val="32"/>
        </w:rPr>
        <w:t>其他需要说明的情况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32"/>
          <w:szCs w:val="32"/>
        </w:rPr>
        <w:t>四、名词解释</w:t>
      </w:r>
    </w:p>
    <w:p>
      <w:pPr>
        <w:widowControl/>
        <w:spacing w:line="584" w:lineRule="exact"/>
        <w:ind w:left="638" w:leftChars="304" w:firstLine="633" w:firstLineChars="198"/>
        <w:jc w:val="left"/>
        <w:rPr>
          <w:rFonts w:cs="Times New Roman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对专业性较强的名词进行解释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jc w:val="center"/>
        <w:rPr>
          <w:rFonts w:cs="Times New Roman"/>
        </w:rPr>
      </w:pPr>
      <w:r>
        <w:rPr>
          <w:rFonts w:eastAsia="方正小标宋简体"/>
          <w:color w:val="FF0000"/>
          <w:sz w:val="36"/>
          <w:szCs w:val="36"/>
        </w:rPr>
        <w:t xml:space="preserve"> </w:t>
      </w:r>
    </w:p>
    <w:p>
      <w:pPr>
        <w:widowControl/>
        <w:spacing w:line="584" w:lineRule="exact"/>
        <w:ind w:firstLine="600"/>
        <w:jc w:val="center"/>
        <w:rPr>
          <w:rFonts w:cs="Times New Roman"/>
        </w:rPr>
      </w:pPr>
      <w:r>
        <w:rPr>
          <w:rFonts w:eastAsia="方正小标宋简体"/>
          <w:color w:val="484747"/>
          <w:sz w:val="44"/>
          <w:szCs w:val="44"/>
        </w:rPr>
        <w:t xml:space="preserve"> </w:t>
      </w:r>
    </w:p>
    <w:p>
      <w:pPr>
        <w:widowControl/>
        <w:spacing w:line="584" w:lineRule="exact"/>
        <w:ind w:firstLine="600"/>
        <w:jc w:val="center"/>
        <w:rPr>
          <w:rFonts w:cs="Times New Roman"/>
        </w:rPr>
      </w:pPr>
      <w:r>
        <w:rPr>
          <w:rFonts w:eastAsia="方正小标宋简体"/>
          <w:color w:val="484747"/>
          <w:sz w:val="44"/>
          <w:szCs w:val="44"/>
        </w:rPr>
        <w:t xml:space="preserve"> </w:t>
      </w:r>
    </w:p>
    <w:p>
      <w:pPr>
        <w:widowControl/>
        <w:spacing w:line="584" w:lineRule="exact"/>
        <w:ind w:firstLine="600"/>
        <w:jc w:val="center"/>
        <w:rPr>
          <w:rFonts w:ascii="方正小标宋简体" w:eastAsia="方正小标宋简体" w:cs="Times New Roman"/>
          <w:color w:val="484747"/>
          <w:sz w:val="44"/>
          <w:szCs w:val="44"/>
        </w:rPr>
      </w:pPr>
      <w:r>
        <w:rPr>
          <w:rFonts w:ascii="方正小标宋简体" w:eastAsia="方正小标宋简体" w:cs="Times New Roman"/>
          <w:color w:val="484747"/>
          <w:sz w:val="44"/>
          <w:szCs w:val="44"/>
        </w:rPr>
        <w:br w:type="textWrapping"/>
      </w:r>
    </w:p>
    <w:p>
      <w:pPr>
        <w:widowControl/>
        <w:spacing w:line="584" w:lineRule="exact"/>
        <w:ind w:firstLine="600"/>
        <w:jc w:val="center"/>
        <w:rPr>
          <w:rFonts w:cs="Times New Roman"/>
        </w:rPr>
      </w:pPr>
      <w:r>
        <w:rPr>
          <w:rFonts w:hint="eastAsia" w:ascii="方正小标宋简体" w:eastAsia="方正小标宋简体" w:cs="方正小标宋简体"/>
          <w:color w:val="484747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按照《预算法》、《河北省财政厅关于印发</w:t>
      </w:r>
      <w:r>
        <w:rPr>
          <w:rFonts w:eastAsia="Times New Roman" w:cs="Times New Roman"/>
          <w:color w:val="484747"/>
          <w:sz w:val="32"/>
          <w:szCs w:val="32"/>
        </w:rPr>
        <w:t>&lt;</w:t>
      </w:r>
      <w:r>
        <w:rPr>
          <w:rFonts w:hint="eastAsia" w:ascii="宋体" w:hAnsi="宋体" w:cs="宋体"/>
          <w:color w:val="484747"/>
          <w:sz w:val="32"/>
          <w:szCs w:val="32"/>
        </w:rPr>
        <w:t>河北省预决算公开操作规程实施细则</w:t>
      </w:r>
      <w:r>
        <w:rPr>
          <w:rFonts w:eastAsia="Times New Roman" w:cs="Times New Roman"/>
          <w:color w:val="484747"/>
          <w:sz w:val="32"/>
          <w:szCs w:val="32"/>
        </w:rPr>
        <w:t>&gt;</w:t>
      </w:r>
      <w:r>
        <w:rPr>
          <w:rFonts w:hint="eastAsia" w:ascii="宋体" w:hAnsi="宋体" w:cs="宋体"/>
          <w:color w:val="484747"/>
          <w:sz w:val="32"/>
          <w:szCs w:val="32"/>
        </w:rPr>
        <w:t>的通知》（冀财预﹝</w:t>
      </w:r>
      <w:r>
        <w:rPr>
          <w:rFonts w:eastAsia="Times New Roman" w:cs="Times New Roman"/>
          <w:color w:val="484747"/>
          <w:sz w:val="32"/>
          <w:szCs w:val="32"/>
        </w:rPr>
        <w:t>2016</w:t>
      </w:r>
      <w:r>
        <w:rPr>
          <w:rFonts w:hint="eastAsia" w:ascii="宋体" w:hAnsi="宋体" w:cs="宋体"/>
          <w:color w:val="484747"/>
          <w:sz w:val="32"/>
          <w:szCs w:val="32"/>
        </w:rPr>
        <w:t>﹞</w:t>
      </w:r>
      <w:r>
        <w:rPr>
          <w:rFonts w:eastAsia="Times New Roman" w:cs="Times New Roman"/>
          <w:color w:val="484747"/>
          <w:sz w:val="32"/>
          <w:szCs w:val="32"/>
        </w:rPr>
        <w:t>129</w:t>
      </w:r>
      <w:r>
        <w:rPr>
          <w:rFonts w:ascii="??_GB2312" w:eastAsia="Times New Roman" w:cs="Times New Roman"/>
          <w:color w:val="484747"/>
          <w:sz w:val="32"/>
          <w:szCs w:val="32"/>
        </w:rPr>
        <w:t>号）等规定，现将</w:t>
      </w:r>
      <w:r>
        <w:rPr>
          <w:rFonts w:eastAsia="Times New Roman" w:cs="Times New Roman"/>
          <w:color w:val="484747"/>
          <w:sz w:val="32"/>
          <w:szCs w:val="32"/>
        </w:rPr>
        <w:t>2017</w:t>
      </w:r>
      <w:r>
        <w:rPr>
          <w:rFonts w:ascii="??_GB2312" w:eastAsia="Times New Roman" w:cs="Times New Roman"/>
          <w:color w:val="484747"/>
          <w:sz w:val="32"/>
          <w:szCs w:val="32"/>
        </w:rPr>
        <w:t>年部门决算公开如下：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eastAsia="黑体" w:cs="黑体"/>
          <w:color w:val="484747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484747"/>
          <w:sz w:val="32"/>
          <w:szCs w:val="32"/>
        </w:rPr>
        <w:t>部门职责及机构设置情况</w:t>
      </w:r>
    </w:p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28"/>
          <w:szCs w:val="28"/>
        </w:rPr>
        <w:t>部门职责：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增加两项职能：一是负责青年志愿者行动的组织、指导工作；二是积极维护青少年合法权益。其它保持不变。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1</w:t>
      </w:r>
      <w:r>
        <w:rPr>
          <w:rFonts w:hint="eastAsia" w:ascii="宋体" w:hAnsi="宋体" w:cs="宋体"/>
          <w:color w:val="484747"/>
          <w:sz w:val="32"/>
          <w:szCs w:val="32"/>
        </w:rPr>
        <w:t>、领导全县共青团工作、指导全县少先队工作，对全县性青年社团组织进行指导和管理。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2</w:t>
      </w:r>
      <w:r>
        <w:rPr>
          <w:rFonts w:hint="eastAsia" w:ascii="宋体" w:hAnsi="宋体" w:cs="宋体"/>
          <w:color w:val="484747"/>
          <w:sz w:val="32"/>
          <w:szCs w:val="32"/>
        </w:rPr>
        <w:t>、参与制定本县的青少年事业发展规划和青少年工作方针、政策，对青年工作学校、青少年活动阵地和青少年服务机构的建设等事务进行规划和管理。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3</w:t>
      </w:r>
      <w:r>
        <w:rPr>
          <w:rFonts w:hint="eastAsia" w:ascii="宋体" w:hAnsi="宋体" w:cs="宋体"/>
          <w:color w:val="484747"/>
          <w:sz w:val="32"/>
          <w:szCs w:val="32"/>
        </w:rPr>
        <w:t>、参与本县有关青少年事务的法律、地方性法规的制定和实施，协助县委和县政府处理、协调与青少年利益相关的事务。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4</w:t>
      </w:r>
      <w:r>
        <w:rPr>
          <w:rFonts w:hint="eastAsia" w:ascii="宋体" w:hAnsi="宋体" w:cs="宋体"/>
          <w:color w:val="484747"/>
          <w:sz w:val="32"/>
          <w:szCs w:val="32"/>
        </w:rPr>
        <w:t>、调查青年思想动态和青年工作状况，研究青少年运动、青少年工作理论和思想教育问题，提出相应对策，开展各种活动。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5</w:t>
      </w:r>
      <w:r>
        <w:rPr>
          <w:rFonts w:hint="eastAsia" w:ascii="宋体" w:hAnsi="宋体" w:cs="宋体"/>
          <w:color w:val="484747"/>
          <w:sz w:val="32"/>
          <w:szCs w:val="32"/>
        </w:rPr>
        <w:t>、协助县政府教育部门做好中小学生的教育管理工作，维护学校稳定和社会安定团结。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6</w:t>
      </w:r>
      <w:r>
        <w:rPr>
          <w:rFonts w:hint="eastAsia" w:ascii="宋体" w:hAnsi="宋体" w:cs="宋体"/>
          <w:color w:val="484747"/>
          <w:sz w:val="32"/>
          <w:szCs w:val="32"/>
        </w:rPr>
        <w:t>、在国家经济建设中，组织和带领青年发挥生力军和突击队作用。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7</w:t>
      </w:r>
      <w:r>
        <w:rPr>
          <w:rFonts w:hint="eastAsia" w:ascii="宋体" w:hAnsi="宋体" w:cs="宋体"/>
          <w:color w:val="484747"/>
          <w:sz w:val="32"/>
          <w:szCs w:val="32"/>
        </w:rPr>
        <w:t>、会同有关部门对全县青少年外事工作实行归口管理和提供服务，参与制定、执行全县的青少年外事政策并落实有关工作。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8</w:t>
      </w:r>
      <w:r>
        <w:rPr>
          <w:rFonts w:hint="eastAsia" w:ascii="宋体" w:hAnsi="宋体" w:cs="宋体"/>
          <w:color w:val="484747"/>
          <w:sz w:val="32"/>
          <w:szCs w:val="32"/>
        </w:rPr>
        <w:t>、参与制定有关本县的青年统战工作的政策，做好青年统战对象的团结教育工作，维护和促进祖国统一和民族团结。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9</w:t>
      </w:r>
      <w:r>
        <w:rPr>
          <w:rFonts w:hint="eastAsia" w:ascii="宋体" w:hAnsi="宋体" w:cs="宋体"/>
          <w:color w:val="484747"/>
          <w:sz w:val="32"/>
          <w:szCs w:val="32"/>
        </w:rPr>
        <w:t>、制定青年志愿者行动发展规划，做好青年志愿者行动的组织、指导工作。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10</w:t>
      </w:r>
      <w:r>
        <w:rPr>
          <w:rFonts w:hint="eastAsia" w:ascii="宋体" w:hAnsi="宋体" w:cs="宋体"/>
          <w:color w:val="484747"/>
          <w:sz w:val="32"/>
          <w:szCs w:val="32"/>
        </w:rPr>
        <w:t>、会同有关部门积极维护青少年合法权益。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11</w:t>
      </w:r>
      <w:r>
        <w:rPr>
          <w:rFonts w:hint="eastAsia" w:ascii="宋体" w:hAnsi="宋体" w:cs="宋体"/>
          <w:color w:val="484747"/>
          <w:sz w:val="32"/>
          <w:szCs w:val="32"/>
        </w:rPr>
        <w:t>、承担县委、县政府、上级团的领导机关交办的有关事项。</w:t>
      </w:r>
    </w:p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28"/>
          <w:szCs w:val="28"/>
        </w:rPr>
        <w:t>机构设置：</w:t>
      </w:r>
    </w:p>
    <w:p>
      <w:pPr>
        <w:widowControl/>
        <w:spacing w:line="420" w:lineRule="atLeast"/>
        <w:jc w:val="center"/>
        <w:outlineLvl w:val="0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部门机构设置情况</w:t>
      </w:r>
    </w:p>
    <w:tbl>
      <w:tblPr>
        <w:tblStyle w:val="3"/>
        <w:tblW w:w="9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rPr>
          <w:trHeight w:val="300" w:hRule="atLeast"/>
          <w:jc w:val="center"/>
        </w:trPr>
        <w:tc>
          <w:tcPr>
            <w:tcW w:w="44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经费保障形式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90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中国共产主义青年团大城县委员会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行政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科级</w:t>
            </w:r>
          </w:p>
        </w:tc>
        <w:tc>
          <w:tcPr>
            <w:tcW w:w="29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财政拨款</w:t>
            </w:r>
          </w:p>
        </w:tc>
      </w:tr>
    </w:tbl>
    <w:p>
      <w:pPr>
        <w:widowControl/>
        <w:spacing w:line="584" w:lineRule="exact"/>
        <w:ind w:firstLine="560" w:firstLineChars="20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napToGrid w:val="0"/>
        <w:spacing w:line="584" w:lineRule="exact"/>
        <w:ind w:firstLine="64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napToGrid w:val="0"/>
        <w:spacing w:line="584" w:lineRule="exact"/>
        <w:ind w:firstLine="64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64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28"/>
          <w:szCs w:val="28"/>
        </w:rPr>
        <w:t>二、</w:t>
      </w:r>
      <w:r>
        <w:rPr>
          <w:rFonts w:hint="eastAsia" w:ascii="黑体" w:hAnsi="宋体" w:eastAsia="黑体" w:cs="黑体"/>
          <w:color w:val="484747"/>
          <w:sz w:val="32"/>
          <w:szCs w:val="32"/>
        </w:rPr>
        <w:t>部门决算报表（见决算信息公开附表）</w:t>
      </w:r>
    </w:p>
    <w:p>
      <w:pPr>
        <w:widowControl/>
        <w:spacing w:line="584" w:lineRule="exact"/>
        <w:ind w:firstLine="64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640"/>
        <w:jc w:val="left"/>
        <w:rPr>
          <w:rFonts w:cs="Times New Roman"/>
        </w:rPr>
      </w:pPr>
      <w:r>
        <w:rPr>
          <w:rFonts w:eastAsia="黑体"/>
          <w:color w:val="484747"/>
          <w:sz w:val="28"/>
          <w:szCs w:val="28"/>
        </w:rPr>
        <w:t xml:space="preserve"> </w:t>
      </w:r>
    </w:p>
    <w:p>
      <w:pPr>
        <w:widowControl/>
        <w:spacing w:line="584" w:lineRule="exact"/>
        <w:ind w:firstLine="640"/>
        <w:jc w:val="left"/>
        <w:rPr>
          <w:rFonts w:cs="Times New Roman"/>
        </w:rPr>
      </w:pPr>
      <w:r>
        <w:rPr>
          <w:rFonts w:hint="eastAsia" w:ascii="黑体" w:hAnsi="宋体" w:eastAsia="黑体" w:cs="黑体"/>
          <w:color w:val="484747"/>
          <w:sz w:val="32"/>
          <w:szCs w:val="32"/>
        </w:rPr>
        <w:t>三、</w:t>
      </w:r>
      <w:r>
        <w:rPr>
          <w:rFonts w:eastAsia="黑体"/>
          <w:color w:val="484747"/>
          <w:sz w:val="32"/>
          <w:szCs w:val="32"/>
        </w:rPr>
        <w:t>2017</w:t>
      </w:r>
      <w:r>
        <w:rPr>
          <w:rFonts w:hint="eastAsia" w:ascii="黑体" w:hAnsi="宋体" w:eastAsia="黑体" w:cs="黑体"/>
          <w:color w:val="484747"/>
          <w:sz w:val="32"/>
          <w:szCs w:val="32"/>
        </w:rPr>
        <w:t>年度部门决算情况说明</w:t>
      </w:r>
    </w:p>
    <w:p>
      <w:pPr>
        <w:widowControl/>
        <w:snapToGrid w:val="0"/>
        <w:spacing w:line="584" w:lineRule="exact"/>
        <w:ind w:firstLine="640"/>
        <w:jc w:val="left"/>
        <w:rPr>
          <w:rFonts w:cs="Times New Roman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（一）收入支出决算总体情况说明</w:t>
      </w:r>
    </w:p>
    <w:p>
      <w:pPr>
        <w:widowControl/>
        <w:snapToGrid w:val="0"/>
        <w:spacing w:line="584" w:lineRule="exact"/>
        <w:ind w:firstLine="960" w:firstLineChars="300"/>
        <w:jc w:val="left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中国共产主义青年团大城县委会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年度结余结转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9.58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年度财政拨款收入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40.53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年度其他收入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说明：团市委下拨青年中心建设经费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年总收入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62.11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年总支出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56.63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年末结转和结余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5.48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  <w:r>
        <w:rPr>
          <w:rFonts w:hint="eastAsia" w:ascii="宋体" w:hAnsi="宋体" w:cs="宋体"/>
          <w:color w:val="484747"/>
          <w:sz w:val="32"/>
          <w:szCs w:val="32"/>
        </w:rPr>
        <w:t>（对映决算表一）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（二）收入决算情况说明</w:t>
      </w:r>
    </w:p>
    <w:p>
      <w:pPr>
        <w:widowControl/>
        <w:spacing w:line="584" w:lineRule="exact"/>
        <w:ind w:firstLine="960" w:firstLineChars="300"/>
        <w:jc w:val="left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中国共产主义青年团大城县委会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年收入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62.11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万元，财政拨款收入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40.53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元，其他收入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说明：团市委下拨青年中心建设经费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年度结余结转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9.58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484747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（三）支出决算情况说明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中国共产主义青年团大城县委会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年支出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56.63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万元，基本支出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40.53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万元，项目支出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16.11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万元；比预算</w:t>
      </w:r>
      <w:r>
        <w:rPr>
          <w:rFonts w:hint="eastAsia" w:ascii="宋体" w:hAnsi="宋体" w:cs="宋体"/>
          <w:color w:val="484747"/>
          <w:sz w:val="32"/>
          <w:szCs w:val="32"/>
        </w:rPr>
        <w:t>减少</w:t>
      </w:r>
      <w:r>
        <w:rPr>
          <w:rFonts w:eastAsia="Times New Roman" w:cs="Times New Roman"/>
          <w:color w:val="484747"/>
          <w:sz w:val="32"/>
          <w:szCs w:val="32"/>
        </w:rPr>
        <w:t>5.48</w:t>
      </w:r>
      <w:r>
        <w:rPr>
          <w:rFonts w:hint="eastAsia" w:ascii="仿宋" w:hAnsi="仿宋" w:eastAsia="仿宋" w:cs="仿宋"/>
          <w:color w:val="484747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，比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年决算增加</w:t>
      </w:r>
      <w:r>
        <w:rPr>
          <w:rFonts w:ascii="仿宋" w:hAnsi="仿宋" w:eastAsia="仿宋" w:cs="仿宋"/>
          <w:color w:val="484747"/>
          <w:sz w:val="32"/>
          <w:szCs w:val="32"/>
        </w:rPr>
        <w:t>18.63</w:t>
      </w:r>
      <w:r>
        <w:rPr>
          <w:rFonts w:hint="eastAsia" w:ascii="仿宋" w:hAnsi="仿宋" w:eastAsia="仿宋" w:cs="仿宋"/>
          <w:color w:val="484747"/>
          <w:sz w:val="32"/>
          <w:szCs w:val="32"/>
        </w:rPr>
        <w:t>万元，主要人员经费增加和省级市级项目资金增加。</w:t>
      </w:r>
      <w:r>
        <w:rPr>
          <w:rFonts w:hint="eastAsia" w:ascii="宋体" w:hAnsi="宋体" w:cs="宋体"/>
          <w:color w:val="484747"/>
          <w:sz w:val="32"/>
          <w:szCs w:val="32"/>
        </w:rPr>
        <w:t>（对映决算表三）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（四）财政拨款收入支出决算总体情况说明</w:t>
      </w:r>
    </w:p>
    <w:p>
      <w:pPr>
        <w:widowControl/>
        <w:spacing w:line="584" w:lineRule="exact"/>
        <w:ind w:firstLine="640" w:firstLineChars="200"/>
        <w:jc w:val="left"/>
        <w:rPr>
          <w:rFonts w:hint="eastAsia" w:ascii="宋体" w:hAnsi="宋体" w:cs="宋体"/>
          <w:color w:val="484747"/>
          <w:sz w:val="32"/>
          <w:szCs w:val="32"/>
        </w:rPr>
      </w:pPr>
      <w:r>
        <w:rPr>
          <w:rFonts w:hint="eastAsia" w:ascii="宋体" w:hAnsi="宋体" w:cs="宋体"/>
          <w:color w:val="484747"/>
          <w:sz w:val="32"/>
          <w:szCs w:val="32"/>
        </w:rPr>
        <w:t>中国共产主义青年团大城县委会2017年度一般公共预算财政拨款收入40.53万元，比上年增加1.93万元，主要人员经费增加和省级市级项目资金增加。支出40.53万元，比上年增加2.53万元，主要人员经费增加和省级市级项目资金增加。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（五）</w:t>
      </w:r>
      <w:r>
        <w:rPr>
          <w:rFonts w:eastAsia="Times New Roman" w:cs="Times New Roman"/>
          <w:color w:val="484747"/>
          <w:sz w:val="32"/>
          <w:szCs w:val="32"/>
        </w:rPr>
        <w:t>“</w:t>
      </w:r>
      <w:r>
        <w:rPr>
          <w:rFonts w:ascii="??_GB2312" w:eastAsia="Times New Roman" w:cs="Times New Roman"/>
          <w:color w:val="484747"/>
          <w:sz w:val="32"/>
          <w:szCs w:val="32"/>
        </w:rPr>
        <w:t>三公</w:t>
      </w:r>
      <w:r>
        <w:rPr>
          <w:rFonts w:eastAsia="Times New Roman" w:cs="Times New Roman"/>
          <w:color w:val="484747"/>
          <w:sz w:val="32"/>
          <w:szCs w:val="32"/>
        </w:rPr>
        <w:t>”</w:t>
      </w:r>
      <w:r>
        <w:rPr>
          <w:rFonts w:ascii="??_GB2312" w:eastAsia="Times New Roman" w:cs="Times New Roman"/>
          <w:color w:val="484747"/>
          <w:sz w:val="32"/>
          <w:szCs w:val="32"/>
        </w:rPr>
        <w:t>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2017</w:t>
      </w:r>
      <w:r>
        <w:rPr>
          <w:rFonts w:hint="eastAsia" w:ascii="宋体" w:hAnsi="宋体" w:cs="宋体"/>
          <w:color w:val="484747"/>
          <w:sz w:val="32"/>
          <w:szCs w:val="32"/>
        </w:rPr>
        <w:t>年度部门</w:t>
      </w:r>
      <w:r>
        <w:rPr>
          <w:rFonts w:eastAsia="Times New Roman" w:cs="Times New Roman"/>
          <w:color w:val="484747"/>
          <w:sz w:val="32"/>
          <w:szCs w:val="32"/>
        </w:rPr>
        <w:t>“</w:t>
      </w:r>
      <w:r>
        <w:rPr>
          <w:rFonts w:hint="eastAsia" w:ascii="宋体" w:hAnsi="宋体" w:cs="宋体"/>
          <w:color w:val="484747"/>
          <w:sz w:val="32"/>
          <w:szCs w:val="32"/>
        </w:rPr>
        <w:t>三公</w:t>
      </w:r>
      <w:r>
        <w:rPr>
          <w:rFonts w:eastAsia="Times New Roman" w:cs="Times New Roman"/>
          <w:color w:val="484747"/>
          <w:sz w:val="32"/>
          <w:szCs w:val="32"/>
        </w:rPr>
        <w:t>”</w:t>
      </w:r>
      <w:r>
        <w:rPr>
          <w:rFonts w:hint="eastAsia" w:ascii="宋体" w:hAnsi="宋体" w:cs="宋体"/>
          <w:color w:val="484747"/>
          <w:sz w:val="32"/>
          <w:szCs w:val="32"/>
        </w:rPr>
        <w:t>经费支出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万元，比预算减少</w:t>
      </w:r>
      <w:r>
        <w:rPr>
          <w:rFonts w:eastAsia="Times New Roman" w:cs="Times New Roman"/>
          <w:color w:val="484747"/>
          <w:sz w:val="32"/>
          <w:szCs w:val="32"/>
        </w:rPr>
        <w:t>1</w:t>
      </w:r>
      <w:r>
        <w:rPr>
          <w:rFonts w:hint="eastAsia" w:ascii="宋体" w:hAnsi="宋体" w:cs="宋体"/>
          <w:color w:val="484747"/>
          <w:sz w:val="32"/>
          <w:szCs w:val="32"/>
        </w:rPr>
        <w:t>万，比</w:t>
      </w:r>
      <w:r>
        <w:rPr>
          <w:rFonts w:eastAsia="Times New Roman" w:cs="Times New Roman"/>
          <w:color w:val="484747"/>
          <w:sz w:val="32"/>
          <w:szCs w:val="32"/>
        </w:rPr>
        <w:t>2016</w:t>
      </w:r>
      <w:r>
        <w:rPr>
          <w:rFonts w:hint="eastAsia" w:ascii="宋体" w:hAnsi="宋体" w:cs="宋体"/>
          <w:color w:val="484747"/>
          <w:sz w:val="32"/>
          <w:szCs w:val="32"/>
        </w:rPr>
        <w:t>年度决算减少</w:t>
      </w:r>
      <w:r>
        <w:rPr>
          <w:rFonts w:eastAsia="Times New Roman" w:cs="Times New Roman"/>
          <w:color w:val="484747"/>
          <w:sz w:val="32"/>
          <w:szCs w:val="32"/>
        </w:rPr>
        <w:t>0.8</w:t>
      </w:r>
      <w:r>
        <w:rPr>
          <w:rFonts w:hint="eastAsia" w:ascii="宋体" w:hAnsi="宋体" w:cs="宋体"/>
          <w:color w:val="484747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其中：因公出国（境）费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万元（本单位</w:t>
      </w:r>
      <w:r>
        <w:rPr>
          <w:rFonts w:eastAsia="Times New Roman" w:cs="Times New Roman"/>
          <w:color w:val="484747"/>
          <w:sz w:val="32"/>
          <w:szCs w:val="32"/>
        </w:rPr>
        <w:t>2017</w:t>
      </w:r>
      <w:r>
        <w:rPr>
          <w:rFonts w:hint="eastAsia" w:ascii="宋体" w:hAnsi="宋体" w:cs="宋体"/>
          <w:color w:val="484747"/>
          <w:sz w:val="32"/>
          <w:szCs w:val="32"/>
        </w:rPr>
        <w:t>年度组织出国（境）团组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个，因公出国（境）人次数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人），比预算无增减变化，比</w:t>
      </w:r>
      <w:r>
        <w:rPr>
          <w:rFonts w:eastAsia="Times New Roman" w:cs="Times New Roman"/>
          <w:color w:val="484747"/>
          <w:sz w:val="32"/>
          <w:szCs w:val="32"/>
        </w:rPr>
        <w:t>2016</w:t>
      </w:r>
      <w:r>
        <w:rPr>
          <w:rFonts w:hint="eastAsia" w:ascii="宋体" w:hAnsi="宋体" w:cs="宋体"/>
          <w:color w:val="484747"/>
          <w:sz w:val="32"/>
          <w:szCs w:val="32"/>
        </w:rPr>
        <w:t>年度决算无增减变化；公务用车购置及运行维护费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万元（公务用车购置数量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辆，购置金额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万元，公车运行维护费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万元，年末公务用车保有量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辆），比预算无增减变化，比</w:t>
      </w:r>
      <w:r>
        <w:rPr>
          <w:rFonts w:eastAsia="Times New Roman" w:cs="Times New Roman"/>
          <w:color w:val="484747"/>
          <w:sz w:val="32"/>
          <w:szCs w:val="32"/>
        </w:rPr>
        <w:t>2016</w:t>
      </w:r>
      <w:r>
        <w:rPr>
          <w:rFonts w:hint="eastAsia" w:ascii="宋体" w:hAnsi="宋体" w:cs="宋体"/>
          <w:color w:val="484747"/>
          <w:sz w:val="32"/>
          <w:szCs w:val="32"/>
        </w:rPr>
        <w:t>年度决算减少</w:t>
      </w:r>
      <w:r>
        <w:rPr>
          <w:rFonts w:eastAsia="Times New Roman" w:cs="Times New Roman"/>
          <w:color w:val="484747"/>
          <w:sz w:val="32"/>
          <w:szCs w:val="32"/>
        </w:rPr>
        <w:t>0.8</w:t>
      </w:r>
      <w:r>
        <w:rPr>
          <w:rFonts w:hint="eastAsia" w:ascii="宋体" w:hAnsi="宋体" w:cs="宋体"/>
          <w:color w:val="484747"/>
          <w:sz w:val="32"/>
          <w:szCs w:val="32"/>
        </w:rPr>
        <w:t>万元，原因是精简</w:t>
      </w:r>
      <w:r>
        <w:rPr>
          <w:rFonts w:eastAsia="Times New Roman" w:cs="Times New Roman"/>
          <w:color w:val="484747"/>
          <w:sz w:val="32"/>
          <w:szCs w:val="32"/>
        </w:rPr>
        <w:t>“</w:t>
      </w:r>
      <w:r>
        <w:rPr>
          <w:rFonts w:hint="eastAsia" w:ascii="宋体" w:hAnsi="宋体" w:cs="宋体"/>
          <w:color w:val="484747"/>
          <w:sz w:val="32"/>
          <w:szCs w:val="32"/>
        </w:rPr>
        <w:t>三公</w:t>
      </w:r>
      <w:r>
        <w:rPr>
          <w:rFonts w:eastAsia="Times New Roman" w:cs="Times New Roman"/>
          <w:color w:val="484747"/>
          <w:sz w:val="32"/>
          <w:szCs w:val="32"/>
        </w:rPr>
        <w:t>”</w:t>
      </w:r>
      <w:r>
        <w:rPr>
          <w:rFonts w:hint="eastAsia" w:ascii="宋体" w:hAnsi="宋体" w:cs="宋体"/>
          <w:color w:val="484747"/>
          <w:sz w:val="32"/>
          <w:szCs w:val="32"/>
        </w:rPr>
        <w:t>经费；公务接待费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万元（</w:t>
      </w:r>
      <w:r>
        <w:rPr>
          <w:rFonts w:eastAsia="Times New Roman" w:cs="Times New Roman"/>
          <w:color w:val="484747"/>
          <w:sz w:val="32"/>
          <w:szCs w:val="32"/>
        </w:rPr>
        <w:t>2017</w:t>
      </w:r>
      <w:r>
        <w:rPr>
          <w:rFonts w:hint="eastAsia" w:ascii="宋体" w:hAnsi="宋体" w:cs="宋体"/>
          <w:color w:val="484747"/>
          <w:sz w:val="32"/>
          <w:szCs w:val="32"/>
        </w:rPr>
        <w:t>年度国内公务接待批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次，合计接待人</w:t>
      </w:r>
      <w:r>
        <w:rPr>
          <w:rFonts w:eastAsia="Times New Roman" w:cs="Times New Roman"/>
          <w:color w:val="484747"/>
          <w:sz w:val="32"/>
          <w:szCs w:val="32"/>
        </w:rPr>
        <w:t>0</w:t>
      </w:r>
      <w:r>
        <w:rPr>
          <w:rFonts w:hint="eastAsia" w:ascii="宋体" w:hAnsi="宋体" w:cs="宋体"/>
          <w:color w:val="484747"/>
          <w:sz w:val="32"/>
          <w:szCs w:val="32"/>
        </w:rPr>
        <w:t>次）。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（六）预算绩效管理工作开展情况说明</w:t>
      </w:r>
    </w:p>
    <w:p>
      <w:pPr>
        <w:spacing w:line="500" w:lineRule="exact"/>
        <w:ind w:firstLine="578" w:firstLineChars="180"/>
        <w:rPr>
          <w:rFonts w:hint="eastAsia" w:ascii="??_GB2312" w:eastAsia="Times New Roman" w:cs="??_GB2312"/>
          <w:b/>
          <w:bCs/>
          <w:color w:val="484747"/>
          <w:sz w:val="32"/>
          <w:szCs w:val="32"/>
        </w:rPr>
      </w:pPr>
      <w:r>
        <w:rPr>
          <w:rFonts w:hint="eastAsia" w:ascii="??_GB2312" w:cs="??_GB2312"/>
          <w:b/>
          <w:bCs/>
          <w:color w:val="484747"/>
          <w:sz w:val="32"/>
          <w:szCs w:val="32"/>
          <w:lang w:val="en-US" w:eastAsia="zh-CN"/>
        </w:rPr>
        <w:t>1、</w:t>
      </w:r>
      <w:r>
        <w:rPr>
          <w:rFonts w:hint="eastAsia" w:ascii="??_GB2312" w:eastAsia="Times New Roman" w:cs="??_GB2312"/>
          <w:b/>
          <w:bCs/>
          <w:color w:val="484747"/>
          <w:sz w:val="32"/>
          <w:szCs w:val="32"/>
        </w:rPr>
        <w:t>绩效管理工作开展情况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576" w:firstLineChars="180"/>
        <w:textAlignment w:val="auto"/>
        <w:rPr>
          <w:rFonts w:hint="eastAsia" w:ascii="??_GB2312" w:eastAsia="Times New Roman" w:cs="??_GB2312"/>
          <w:color w:val="484747"/>
          <w:sz w:val="32"/>
          <w:szCs w:val="32"/>
        </w:rPr>
      </w:pPr>
      <w:r>
        <w:rPr>
          <w:rFonts w:hint="eastAsia" w:eastAsia="Times New Roman" w:cs="Times New Roman"/>
          <w:color w:val="484747"/>
          <w:sz w:val="32"/>
          <w:szCs w:val="32"/>
        </w:rPr>
        <w:t>根据市财政预算绩效管理要求，</w:t>
      </w:r>
      <w:r>
        <w:rPr>
          <w:rFonts w:hint="eastAsia" w:eastAsia="Times New Roman" w:cs="Times New Roman"/>
          <w:color w:val="484747"/>
          <w:sz w:val="32"/>
          <w:szCs w:val="32"/>
          <w:lang w:eastAsia="zh-CN"/>
        </w:rPr>
        <w:t>中国共产主义青年团大城县委员会</w:t>
      </w:r>
      <w:r>
        <w:rPr>
          <w:rFonts w:hint="eastAsia" w:eastAsia="Times New Roman" w:cs="Times New Roman"/>
          <w:color w:val="484747"/>
          <w:sz w:val="32"/>
          <w:szCs w:val="32"/>
        </w:rPr>
        <w:t>以“部门职责-工作活动”为依据，确定部门预算和预算额度，清晰描述预算项目开支范围和内容，确定预算项目的绩效目标、绩效</w:t>
      </w:r>
      <w:r>
        <w:rPr>
          <w:rFonts w:hint="eastAsia" w:ascii="??_GB2312" w:eastAsia="Times New Roman" w:cs="??_GB2312"/>
          <w:color w:val="484747"/>
          <w:sz w:val="32"/>
          <w:szCs w:val="32"/>
        </w:rPr>
        <w:t>指标和评价标准，为预算绩效控制、绩效分析、绩效评价打下良好的基础。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3" w:firstLineChars="200"/>
        <w:jc w:val="left"/>
        <w:textAlignment w:val="auto"/>
        <w:rPr>
          <w:rFonts w:hint="eastAsia" w:ascii="??_GB2312" w:eastAsia="Times New Roman" w:cs="??_GB2312"/>
          <w:color w:val="484747"/>
          <w:sz w:val="32"/>
          <w:szCs w:val="32"/>
        </w:rPr>
      </w:pPr>
      <w:r>
        <w:rPr>
          <w:rFonts w:hint="eastAsia" w:ascii="FangSong_GB2312,Bold" w:hAnsi="FangSong_GB2312,Bold" w:eastAsia="FangSong_GB2312,Bold"/>
          <w:b/>
          <w:sz w:val="32"/>
          <w:lang w:val="en-US" w:eastAsia="zh-CN"/>
        </w:rPr>
        <w:t>2、</w:t>
      </w:r>
      <w:r>
        <w:rPr>
          <w:rFonts w:hint="eastAsia" w:ascii="FangSong_GB2312,Bold" w:hAnsi="FangSong_GB2312,Bold" w:eastAsia="FangSong_GB2312,Bold"/>
          <w:b/>
          <w:sz w:val="32"/>
        </w:rPr>
        <w:t>预算项目绩效评价开展情况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576" w:firstLineChars="180"/>
        <w:textAlignment w:val="auto"/>
        <w:rPr>
          <w:rFonts w:hint="eastAsia" w:ascii="??_GB2312" w:eastAsia="Times New Roman" w:cs="??_GB2312"/>
          <w:color w:val="484747"/>
          <w:sz w:val="32"/>
          <w:szCs w:val="32"/>
        </w:rPr>
      </w:pPr>
      <w:r>
        <w:rPr>
          <w:rFonts w:hint="eastAsia" w:ascii="??_GB2312" w:eastAsia="Times New Roman" w:cs="??_GB2312"/>
          <w:color w:val="484747"/>
          <w:sz w:val="32"/>
          <w:szCs w:val="32"/>
        </w:rPr>
        <w:t>领导全县共青团工作，管理全县青、学联、少先队、青年志愿者和青年社会组织工作；对青少年活动阵地和青少年服务机构的建设等进行规划和管理；协助县政府教育部门做好学生教育管理工作。各级基层团组织和青年组织建设加强，活力明显提升。构建团的网络新媒体工作阵地，运用新媒体全方位推进团的工作；利用重要节点节日、各类阵地、各种形式进行思想引导，培养青年骨干，打造适应青少年特点的文化产品。维护青少年队伍稳定，促进和谐社会建设。围绕青年思想动态和青年工作现况，不断加强青少年社会主义核心价值观教育；加强青年统战工作；围绕党政中心工作开展各项活动。做好青年统战对象的团结教育、引导、服务工作，为全县经济社会发展贡献力量。工作任务圆满完成，促进共青团事业发展。高质量完成全县青少年发展规划和方针政策的制定，圆满完成县委、县政府和省市团委交办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3" w:firstLineChars="200"/>
        <w:jc w:val="left"/>
        <w:textAlignment w:val="auto"/>
        <w:rPr>
          <w:rFonts w:hint="eastAsia" w:ascii="??_GB2312" w:eastAsia="Times New Roman" w:cs="??_GB2312"/>
          <w:color w:val="484747"/>
          <w:sz w:val="32"/>
          <w:szCs w:val="32"/>
        </w:rPr>
      </w:pPr>
      <w:r>
        <w:rPr>
          <w:rFonts w:hint="eastAsia" w:ascii="FangSong_GB2312,Bold" w:hAnsi="FangSong_GB2312,Bold" w:eastAsia="FangSong_GB2312,Bold"/>
          <w:b/>
          <w:sz w:val="32"/>
          <w:lang w:val="en-US" w:eastAsia="zh-CN"/>
        </w:rPr>
        <w:t>3、</w:t>
      </w:r>
      <w:r>
        <w:rPr>
          <w:rFonts w:hint="eastAsia" w:ascii="FangSong_GB2312,Bold" w:hAnsi="FangSong_GB2312,Bold" w:eastAsia="FangSong_GB2312,Bold"/>
          <w:b/>
          <w:sz w:val="32"/>
        </w:rPr>
        <w:t>预算项目绩效自评选例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ascii="宋体" w:hAnsi="宋体" w:cs="宋体"/>
          <w:color w:val="484747"/>
          <w:sz w:val="32"/>
          <w:szCs w:val="32"/>
        </w:rPr>
        <w:t>“</w:t>
      </w:r>
      <w:r>
        <w:rPr>
          <w:rFonts w:hint="eastAsia" w:ascii="宋体" w:hAnsi="宋体" w:cs="宋体"/>
          <w:color w:val="484747"/>
          <w:sz w:val="32"/>
          <w:szCs w:val="32"/>
          <w:lang w:eastAsia="zh-CN"/>
        </w:rPr>
        <w:t>基层党建带团建</w:t>
      </w:r>
      <w:r>
        <w:rPr>
          <w:rFonts w:hint="eastAsia" w:ascii="宋体" w:hAnsi="宋体" w:cs="宋体"/>
          <w:color w:val="484747"/>
          <w:sz w:val="32"/>
          <w:szCs w:val="32"/>
        </w:rPr>
        <w:t>”项目。为加强预算绩效管理</w:t>
      </w:r>
      <w:r>
        <w:rPr>
          <w:rFonts w:hint="default" w:ascii="宋体" w:hAnsi="宋体" w:cs="宋体"/>
          <w:color w:val="484747"/>
          <w:sz w:val="32"/>
          <w:szCs w:val="32"/>
        </w:rPr>
        <w:t>,</w:t>
      </w:r>
      <w:r>
        <w:rPr>
          <w:rFonts w:hint="eastAsia" w:ascii="宋体" w:hAnsi="宋体" w:cs="宋体"/>
          <w:color w:val="484747"/>
          <w:sz w:val="32"/>
          <w:szCs w:val="32"/>
        </w:rPr>
        <w:t>切实提高财政资金使用效益，进一步做好</w:t>
      </w:r>
      <w:r>
        <w:rPr>
          <w:rFonts w:hint="default" w:ascii="宋体" w:hAnsi="宋体" w:cs="宋体"/>
          <w:color w:val="484747"/>
          <w:sz w:val="32"/>
          <w:szCs w:val="32"/>
        </w:rPr>
        <w:t xml:space="preserve">2017 </w:t>
      </w:r>
      <w:r>
        <w:rPr>
          <w:rFonts w:hint="eastAsia" w:ascii="宋体" w:hAnsi="宋体" w:cs="宋体"/>
          <w:color w:val="484747"/>
          <w:sz w:val="32"/>
          <w:szCs w:val="32"/>
        </w:rPr>
        <w:t>年绩效评价工作，</w:t>
      </w:r>
      <w:r>
        <w:rPr>
          <w:rFonts w:hint="eastAsia" w:ascii="宋体" w:hAnsi="宋体" w:cs="宋体"/>
          <w:color w:val="484747"/>
          <w:sz w:val="32"/>
          <w:szCs w:val="32"/>
          <w:lang w:eastAsia="zh-CN"/>
        </w:rPr>
        <w:t>中国共产主义青年团大城县委员会</w:t>
      </w:r>
      <w:r>
        <w:rPr>
          <w:rFonts w:hint="eastAsia" w:ascii="宋体" w:hAnsi="宋体" w:cs="宋体"/>
          <w:color w:val="484747"/>
          <w:sz w:val="32"/>
          <w:szCs w:val="32"/>
        </w:rPr>
        <w:t>继续对专项项目进行重点绩效评价，同时积极创新开展“工作活动”层面的绩效评价。</w:t>
      </w:r>
      <w:r>
        <w:rPr>
          <w:rFonts w:hint="default" w:ascii="宋体" w:hAnsi="宋体" w:cs="宋体"/>
          <w:color w:val="484747"/>
          <w:sz w:val="32"/>
          <w:szCs w:val="32"/>
        </w:rPr>
        <w:t xml:space="preserve">2017 </w:t>
      </w:r>
      <w:r>
        <w:rPr>
          <w:rFonts w:hint="eastAsia" w:ascii="宋体" w:hAnsi="宋体" w:cs="宋体"/>
          <w:color w:val="484747"/>
          <w:sz w:val="32"/>
          <w:szCs w:val="32"/>
        </w:rPr>
        <w:t>年筛选了</w:t>
      </w:r>
      <w:r>
        <w:rPr>
          <w:rFonts w:hint="eastAsia" w:ascii="宋体" w:hAnsi="宋体" w:cs="宋体"/>
          <w:color w:val="484747"/>
          <w:sz w:val="32"/>
          <w:szCs w:val="32"/>
          <w:lang w:val="en-US" w:eastAsia="zh-CN"/>
        </w:rPr>
        <w:t>9</w:t>
      </w:r>
      <w:r>
        <w:rPr>
          <w:rFonts w:hint="default" w:ascii="宋体" w:hAnsi="宋体" w:cs="宋体"/>
          <w:color w:val="484747"/>
          <w:sz w:val="32"/>
          <w:szCs w:val="32"/>
        </w:rPr>
        <w:t xml:space="preserve"> </w:t>
      </w:r>
      <w:r>
        <w:rPr>
          <w:rFonts w:hint="eastAsia" w:ascii="宋体" w:hAnsi="宋体" w:cs="宋体"/>
          <w:color w:val="484747"/>
          <w:sz w:val="32"/>
          <w:szCs w:val="32"/>
        </w:rPr>
        <w:t>个项目开展重点绩效评价工作。截止到</w:t>
      </w:r>
      <w:r>
        <w:rPr>
          <w:rFonts w:hint="default" w:ascii="宋体" w:hAnsi="宋体" w:cs="宋体"/>
          <w:color w:val="484747"/>
          <w:sz w:val="32"/>
          <w:szCs w:val="32"/>
        </w:rPr>
        <w:t>12</w:t>
      </w:r>
      <w:r>
        <w:rPr>
          <w:rFonts w:hint="eastAsia" w:ascii="宋体" w:hAnsi="宋体" w:cs="宋体"/>
          <w:color w:val="484747"/>
          <w:sz w:val="32"/>
          <w:szCs w:val="32"/>
        </w:rPr>
        <w:t>月</w:t>
      </w:r>
      <w:r>
        <w:rPr>
          <w:rFonts w:hint="default" w:ascii="宋体" w:hAnsi="宋体" w:cs="宋体"/>
          <w:color w:val="484747"/>
          <w:sz w:val="32"/>
          <w:szCs w:val="32"/>
        </w:rPr>
        <w:t>31</w:t>
      </w:r>
      <w:r>
        <w:rPr>
          <w:rFonts w:hint="eastAsia" w:ascii="宋体" w:hAnsi="宋体" w:cs="宋体"/>
          <w:color w:val="484747"/>
          <w:sz w:val="32"/>
          <w:szCs w:val="32"/>
        </w:rPr>
        <w:t>日这项工作已全部完成，取得了良好的成效，并将评价结果分别报送有关部门和局领导。此项自评结果为优秀。</w:t>
      </w:r>
      <w:bookmarkStart w:id="0" w:name="_GoBack"/>
      <w:bookmarkEnd w:id="0"/>
      <w:r>
        <w:rPr>
          <w:rFonts w:ascii="仿宋" w:hAnsi="仿宋" w:eastAsia="仿宋" w:cs="仿宋"/>
          <w:color w:val="484747"/>
          <w:kern w:val="0"/>
          <w:sz w:val="32"/>
          <w:szCs w:val="32"/>
        </w:rPr>
        <w:t xml:space="preserve"> </w:t>
      </w:r>
    </w:p>
    <w:p>
      <w:pPr>
        <w:widowControl/>
        <w:spacing w:line="584" w:lineRule="exact"/>
        <w:ind w:firstLine="640" w:firstLineChars="200"/>
        <w:jc w:val="left"/>
        <w:rPr>
          <w:rFonts w:ascii="??_GB2312" w:eastAsia="Times New Roman" w:cs="Times New Roman"/>
          <w:color w:val="484747"/>
          <w:sz w:val="32"/>
          <w:szCs w:val="32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（七）其他重要事项说明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1.</w:t>
      </w:r>
      <w:r>
        <w:rPr>
          <w:rFonts w:ascii="??_GB2312" w:eastAsia="Times New Roman" w:cs="Times New Roman"/>
          <w:color w:val="484747"/>
          <w:sz w:val="32"/>
          <w:szCs w:val="32"/>
        </w:rPr>
        <w:t>机关运行经费支出情况的说明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2017</w:t>
      </w:r>
      <w:r>
        <w:rPr>
          <w:rFonts w:hint="eastAsia" w:ascii="宋体" w:hAnsi="宋体" w:cs="宋体"/>
          <w:color w:val="484747"/>
          <w:sz w:val="32"/>
          <w:szCs w:val="32"/>
        </w:rPr>
        <w:t>年度部门机关运行经费支出</w:t>
      </w:r>
      <w:r>
        <w:rPr>
          <w:color w:val="484747"/>
          <w:sz w:val="32"/>
          <w:szCs w:val="32"/>
        </w:rPr>
        <w:t>12.7</w:t>
      </w:r>
      <w:r>
        <w:rPr>
          <w:rFonts w:hint="eastAsia" w:ascii="宋体" w:hAnsi="宋体" w:cs="宋体"/>
          <w:color w:val="484747"/>
          <w:sz w:val="32"/>
          <w:szCs w:val="32"/>
        </w:rPr>
        <w:t>万元，比预算无增减变化，比</w:t>
      </w:r>
      <w:r>
        <w:rPr>
          <w:rFonts w:eastAsia="Times New Roman" w:cs="Times New Roman"/>
          <w:color w:val="484747"/>
          <w:sz w:val="32"/>
          <w:szCs w:val="32"/>
        </w:rPr>
        <w:t>2016</w:t>
      </w:r>
      <w:r>
        <w:rPr>
          <w:rFonts w:hint="eastAsia" w:ascii="宋体" w:hAnsi="宋体" w:cs="宋体"/>
          <w:color w:val="484747"/>
          <w:sz w:val="32"/>
          <w:szCs w:val="32"/>
        </w:rPr>
        <w:t>年增加</w:t>
      </w:r>
      <w:r>
        <w:rPr>
          <w:rFonts w:ascii="宋体" w:hAnsi="宋体" w:cs="宋体"/>
          <w:color w:val="484747"/>
          <w:sz w:val="32"/>
          <w:szCs w:val="32"/>
        </w:rPr>
        <w:t>9.95</w:t>
      </w:r>
      <w:r>
        <w:rPr>
          <w:rFonts w:hint="eastAsia" w:ascii="宋体" w:hAnsi="宋体" w:cs="宋体"/>
          <w:color w:val="484747"/>
          <w:sz w:val="32"/>
          <w:szCs w:val="32"/>
        </w:rPr>
        <w:t>万元，原因是人员调动。</w:t>
      </w:r>
    </w:p>
    <w:p>
      <w:pPr>
        <w:widowControl/>
        <w:adjustRightInd w:val="0"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2.</w:t>
      </w:r>
      <w:r>
        <w:rPr>
          <w:rFonts w:ascii="??_GB2312" w:eastAsia="Times New Roman" w:cs="Times New Roman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 xml:space="preserve"> 2017</w:t>
      </w:r>
      <w:r>
        <w:rPr>
          <w:rFonts w:ascii="??_GB2312" w:eastAsia="Times New Roman" w:cs="Times New Roman"/>
          <w:color w:val="484747"/>
          <w:sz w:val="32"/>
          <w:szCs w:val="32"/>
        </w:rPr>
        <w:t>年采购台式电脑</w:t>
      </w:r>
      <w:r>
        <w:rPr>
          <w:rFonts w:ascii="??_GB2312" w:eastAsia="Times New Roman" w:cs="??_GB2312"/>
          <w:color w:val="484747"/>
          <w:sz w:val="32"/>
          <w:szCs w:val="32"/>
        </w:rPr>
        <w:t>19</w:t>
      </w:r>
      <w:r>
        <w:rPr>
          <w:rFonts w:ascii="??_GB2312" w:eastAsia="Times New Roman" w:cs="Times New Roman"/>
          <w:color w:val="484747"/>
          <w:sz w:val="32"/>
          <w:szCs w:val="32"/>
        </w:rPr>
        <w:t>台（说明：单价为</w:t>
      </w:r>
      <w:r>
        <w:rPr>
          <w:rFonts w:ascii="??_GB2312" w:eastAsia="Times New Roman" w:cs="??_GB2312"/>
          <w:color w:val="484747"/>
          <w:sz w:val="32"/>
          <w:szCs w:val="32"/>
        </w:rPr>
        <w:t>0.3516</w:t>
      </w:r>
      <w:r>
        <w:rPr>
          <w:rFonts w:ascii="??_GB2312" w:eastAsia="Times New Roman" w:cs="Times New Roman"/>
          <w:color w:val="484747"/>
          <w:sz w:val="32"/>
          <w:szCs w:val="32"/>
        </w:rPr>
        <w:t>万元，共计</w:t>
      </w:r>
      <w:r>
        <w:rPr>
          <w:rFonts w:ascii="??_GB2312" w:eastAsia="Times New Roman" w:cs="??_GB2312"/>
          <w:color w:val="484747"/>
          <w:sz w:val="32"/>
          <w:szCs w:val="32"/>
        </w:rPr>
        <w:t>6.68</w:t>
      </w:r>
      <w:r>
        <w:rPr>
          <w:rFonts w:ascii="??_GB2312" w:eastAsia="Times New Roman" w:cs="Times New Roman"/>
          <w:color w:val="484747"/>
          <w:sz w:val="32"/>
          <w:szCs w:val="32"/>
        </w:rPr>
        <w:t>万元。本单位使用</w:t>
      </w:r>
      <w:r>
        <w:rPr>
          <w:rFonts w:ascii="??_GB2312" w:eastAsia="Times New Roman" w:cs="??_GB2312"/>
          <w:color w:val="484747"/>
          <w:sz w:val="32"/>
          <w:szCs w:val="32"/>
        </w:rPr>
        <w:t>6</w:t>
      </w:r>
      <w:r>
        <w:rPr>
          <w:rFonts w:ascii="??_GB2312" w:eastAsia="Times New Roman" w:cs="Times New Roman"/>
          <w:color w:val="484747"/>
          <w:sz w:val="32"/>
          <w:szCs w:val="32"/>
        </w:rPr>
        <w:t>台，分配至</w:t>
      </w:r>
      <w:r>
        <w:rPr>
          <w:rFonts w:ascii="??_GB2312" w:eastAsia="Times New Roman" w:cs="??_GB2312"/>
          <w:color w:val="484747"/>
          <w:sz w:val="32"/>
          <w:szCs w:val="32"/>
        </w:rPr>
        <w:t>10</w:t>
      </w:r>
      <w:r>
        <w:rPr>
          <w:rFonts w:ascii="??_GB2312" w:eastAsia="Times New Roman" w:cs="Times New Roman"/>
          <w:color w:val="484747"/>
          <w:sz w:val="32"/>
          <w:szCs w:val="32"/>
        </w:rPr>
        <w:t>所乡镇青年中心各</w:t>
      </w:r>
      <w:r>
        <w:rPr>
          <w:rFonts w:ascii="??_GB2312" w:eastAsia="Times New Roman" w:cs="??_GB2312"/>
          <w:color w:val="484747"/>
          <w:sz w:val="32"/>
          <w:szCs w:val="32"/>
        </w:rPr>
        <w:t>1</w:t>
      </w:r>
      <w:r>
        <w:rPr>
          <w:rFonts w:ascii="??_GB2312" w:eastAsia="Times New Roman" w:cs="Times New Roman"/>
          <w:color w:val="484747"/>
          <w:sz w:val="32"/>
          <w:szCs w:val="32"/>
        </w:rPr>
        <w:t>台，经开区青年中心</w:t>
      </w:r>
      <w:r>
        <w:rPr>
          <w:rFonts w:ascii="??_GB2312" w:eastAsia="Times New Roman" w:cs="??_GB2312"/>
          <w:color w:val="484747"/>
          <w:sz w:val="32"/>
          <w:szCs w:val="32"/>
        </w:rPr>
        <w:t>1</w:t>
      </w:r>
      <w:r>
        <w:rPr>
          <w:rFonts w:ascii="??_GB2312" w:eastAsia="Times New Roman" w:cs="Times New Roman"/>
          <w:color w:val="484747"/>
          <w:sz w:val="32"/>
          <w:szCs w:val="32"/>
        </w:rPr>
        <w:t>台，城区办青年中心</w:t>
      </w:r>
      <w:r>
        <w:rPr>
          <w:rFonts w:ascii="??_GB2312" w:eastAsia="Times New Roman" w:cs="??_GB2312"/>
          <w:color w:val="484747"/>
          <w:sz w:val="32"/>
          <w:szCs w:val="32"/>
        </w:rPr>
        <w:t>1</w:t>
      </w:r>
      <w:r>
        <w:rPr>
          <w:rFonts w:ascii="??_GB2312" w:eastAsia="Times New Roman" w:cs="Times New Roman"/>
          <w:color w:val="484747"/>
          <w:sz w:val="32"/>
          <w:szCs w:val="32"/>
        </w:rPr>
        <w:t>台，青年活动中心</w:t>
      </w:r>
      <w:r>
        <w:rPr>
          <w:rFonts w:ascii="??_GB2312" w:eastAsia="Times New Roman" w:cs="??_GB2312"/>
          <w:color w:val="484747"/>
          <w:sz w:val="32"/>
          <w:szCs w:val="32"/>
        </w:rPr>
        <w:t>1</w:t>
      </w:r>
      <w:r>
        <w:rPr>
          <w:rFonts w:ascii="??_GB2312" w:eastAsia="Times New Roman" w:cs="Times New Roman"/>
          <w:color w:val="484747"/>
          <w:sz w:val="32"/>
          <w:szCs w:val="32"/>
        </w:rPr>
        <w:t>台，共计</w:t>
      </w:r>
      <w:r>
        <w:rPr>
          <w:rFonts w:ascii="??_GB2312" w:eastAsia="Times New Roman" w:cs="??_GB2312"/>
          <w:color w:val="484747"/>
          <w:sz w:val="32"/>
          <w:szCs w:val="32"/>
        </w:rPr>
        <w:t>19</w:t>
      </w:r>
      <w:r>
        <w:rPr>
          <w:rFonts w:ascii="??_GB2312" w:eastAsia="Times New Roman" w:cs="Times New Roman"/>
          <w:color w:val="484747"/>
          <w:sz w:val="32"/>
          <w:szCs w:val="32"/>
        </w:rPr>
        <w:t>台电脑。）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eastAsia="Times New Roman" w:cs="Times New Roman"/>
          <w:color w:val="484747"/>
          <w:sz w:val="32"/>
          <w:szCs w:val="32"/>
        </w:rPr>
        <w:t>3.</w:t>
      </w:r>
      <w:r>
        <w:rPr>
          <w:rFonts w:hint="eastAsia" w:ascii="宋体" w:hAnsi="宋体" w:cs="宋体"/>
          <w:color w:val="484747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??_GB2312" w:hAnsi="宋体" w:eastAsia="Times New Roman" w:cs="Times New Roman"/>
          <w:color w:val="484747"/>
          <w:sz w:val="32"/>
          <w:szCs w:val="32"/>
        </w:rPr>
      </w:pPr>
      <w:r>
        <w:rPr>
          <w:rFonts w:hint="eastAsia" w:ascii="??_GB2312" w:eastAsia="Times New Roman" w:cs="??_GB2312"/>
          <w:color w:val="484747"/>
          <w:sz w:val="32"/>
          <w:szCs w:val="32"/>
          <w:lang w:val="en-US" w:eastAsia="zh-CN"/>
        </w:rPr>
        <w:t>截至2017年12月31日，中国共产主义青年团大城县委员会2019年末固定资产总额为5.18</w:t>
      </w:r>
      <w:r>
        <w:rPr>
          <w:rFonts w:hint="eastAsia" w:ascii="??_GB2312" w:eastAsia="Times New Roman" w:cs="Times New Roman"/>
          <w:color w:val="484747"/>
          <w:sz w:val="32"/>
          <w:szCs w:val="32"/>
          <w:lang w:val="en-US" w:eastAsia="zh-CN"/>
        </w:rPr>
        <w:t>万元，2017年年末固定资产总额为11.86万元，由办公家具及办公通用设备构成。相比2016年年末增加6.68万元。原因是为乡镇青年中心建设购置电脑购置</w:t>
      </w:r>
      <w:r>
        <w:rPr>
          <w:rFonts w:ascii="??_GB2312" w:eastAsia="Times New Roman" w:cs="Times New Roman"/>
          <w:color w:val="484747"/>
          <w:sz w:val="32"/>
          <w:szCs w:val="32"/>
        </w:rPr>
        <w:t>台式电脑19台（说明：单价为0.3516万元，共计6.68万元。本单位使用6台，分配至10所乡镇青年中心各1台，经开区青年中心1台，城区办青年中心1台，青年活动中心1台，共计19台电脑。）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4.</w:t>
      </w:r>
      <w:r>
        <w:rPr>
          <w:rFonts w:ascii="??_GB2312" w:eastAsia="Times New Roman" w:cs="Times New Roman"/>
          <w:color w:val="484747"/>
          <w:sz w:val="32"/>
          <w:szCs w:val="32"/>
        </w:rPr>
        <w:t>其他需要说明的情况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Times New Roman"/>
          <w:color w:val="484747"/>
          <w:sz w:val="32"/>
          <w:szCs w:val="32"/>
        </w:rPr>
        <w:t>本单位没有其他需要说明的事项。</w:t>
      </w:r>
    </w:p>
    <w:p>
      <w:pPr>
        <w:widowControl/>
        <w:spacing w:line="584" w:lineRule="exact"/>
        <w:ind w:firstLine="640" w:firstLineChars="200"/>
        <w:jc w:val="left"/>
        <w:rPr>
          <w:rFonts w:cs="Times New Roman"/>
        </w:rPr>
      </w:pPr>
      <w:r>
        <w:rPr>
          <w:rFonts w:hint="eastAsia" w:eastAsia="黑体" w:cs="黑体"/>
          <w:color w:val="484747"/>
          <w:sz w:val="32"/>
          <w:szCs w:val="32"/>
        </w:rPr>
        <w:t>四、</w:t>
      </w:r>
      <w:r>
        <w:rPr>
          <w:rFonts w:hint="eastAsia" w:ascii="黑体" w:hAnsi="宋体" w:eastAsia="黑体" w:cs="黑体"/>
          <w:color w:val="484747"/>
          <w:sz w:val="32"/>
          <w:szCs w:val="32"/>
        </w:rPr>
        <w:t>名词解释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1</w:t>
      </w:r>
      <w:r>
        <w:rPr>
          <w:rFonts w:ascii="??_GB2312" w:eastAsia="Times New Roman" w:cs="Times New Roman"/>
          <w:color w:val="484747"/>
          <w:sz w:val="32"/>
          <w:szCs w:val="32"/>
        </w:rPr>
        <w:t>、一般公共预算拨款收入</w:t>
      </w:r>
      <w:r>
        <w:rPr>
          <w:rFonts w:ascii="??_GB2312" w:eastAsia="Times New Roman" w:cs="??_GB2312"/>
          <w:color w:val="484747"/>
          <w:sz w:val="32"/>
          <w:szCs w:val="32"/>
        </w:rPr>
        <w:t>:</w:t>
      </w:r>
      <w:r>
        <w:rPr>
          <w:rFonts w:ascii="??_GB2312" w:eastAsia="Times New Roman" w:cs="Times New Roman"/>
          <w:color w:val="484747"/>
          <w:sz w:val="32"/>
          <w:szCs w:val="32"/>
        </w:rPr>
        <w:t>县级财政当年拨付的资金。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2</w:t>
      </w:r>
      <w:r>
        <w:rPr>
          <w:rFonts w:ascii="??_GB2312" w:eastAsia="Times New Roman" w:cs="Times New Roman"/>
          <w:color w:val="484747"/>
          <w:sz w:val="32"/>
          <w:szCs w:val="32"/>
        </w:rPr>
        <w:t>、基本支出：为保障机构正常运转，完成日常工作任务，而发生的人员支出和公用支出。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3</w:t>
      </w:r>
      <w:r>
        <w:rPr>
          <w:rFonts w:ascii="??_GB2312" w:eastAsia="Times New Roman" w:cs="Times New Roman"/>
          <w:color w:val="484747"/>
          <w:sz w:val="32"/>
          <w:szCs w:val="32"/>
        </w:rPr>
        <w:t>、项目支出：是指在基本支出之外，为完成特定行政任务和事业发展目标，而发生的支出。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4</w:t>
      </w:r>
      <w:r>
        <w:rPr>
          <w:rFonts w:ascii="??_GB2312" w:eastAsia="Times New Roman" w:cs="Times New Roman"/>
          <w:color w:val="484747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widowControl/>
        <w:spacing w:line="420" w:lineRule="atLeast"/>
        <w:ind w:firstLine="640" w:firstLineChars="200"/>
        <w:jc w:val="left"/>
        <w:rPr>
          <w:rFonts w:cs="Times New Roman"/>
        </w:rPr>
      </w:pPr>
      <w:r>
        <w:rPr>
          <w:rFonts w:ascii="??_GB2312" w:eastAsia="Times New Roman" w:cs="??_GB2312"/>
          <w:color w:val="484747"/>
          <w:sz w:val="32"/>
          <w:szCs w:val="32"/>
        </w:rPr>
        <w:t>5</w:t>
      </w:r>
      <w:r>
        <w:rPr>
          <w:rFonts w:ascii="??_GB2312" w:eastAsia="Times New Roman" w:cs="Times New Roman"/>
          <w:color w:val="484747"/>
          <w:sz w:val="32"/>
          <w:szCs w:val="32"/>
        </w:rPr>
        <w:t>、</w:t>
      </w:r>
      <w:r>
        <w:rPr>
          <w:rFonts w:ascii="??_GB2312" w:eastAsia="Times New Roman"/>
          <w:color w:val="484747"/>
          <w:sz w:val="32"/>
          <w:szCs w:val="32"/>
        </w:rPr>
        <w:t>“</w:t>
      </w:r>
      <w:r>
        <w:rPr>
          <w:rFonts w:ascii="??_GB2312" w:eastAsia="Times New Roman" w:cs="Times New Roman"/>
          <w:color w:val="484747"/>
          <w:sz w:val="32"/>
          <w:szCs w:val="32"/>
        </w:rPr>
        <w:t>三公</w:t>
      </w:r>
      <w:r>
        <w:rPr>
          <w:rFonts w:ascii="??_GB2312" w:eastAsia="Times New Roman"/>
          <w:color w:val="484747"/>
          <w:sz w:val="32"/>
          <w:szCs w:val="32"/>
        </w:rPr>
        <w:t>”</w:t>
      </w:r>
      <w:r>
        <w:rPr>
          <w:rFonts w:ascii="??_GB2312" w:eastAsia="Times New Roman" w:cs="Times New Roman"/>
          <w:color w:val="484747"/>
          <w:sz w:val="32"/>
          <w:szCs w:val="32"/>
        </w:rPr>
        <w:t>经费：纳入县级预算管理的</w:t>
      </w:r>
      <w:r>
        <w:rPr>
          <w:rFonts w:ascii="??_GB2312" w:eastAsia="Times New Roman"/>
          <w:color w:val="484747"/>
          <w:sz w:val="32"/>
          <w:szCs w:val="32"/>
        </w:rPr>
        <w:t>“</w:t>
      </w:r>
      <w:r>
        <w:rPr>
          <w:rFonts w:ascii="??_GB2312" w:eastAsia="Times New Roman" w:cs="Times New Roman"/>
          <w:color w:val="484747"/>
          <w:sz w:val="32"/>
          <w:szCs w:val="32"/>
        </w:rPr>
        <w:t>三公</w:t>
      </w:r>
      <w:r>
        <w:rPr>
          <w:rFonts w:ascii="??_GB2312" w:eastAsia="Times New Roman"/>
          <w:color w:val="484747"/>
          <w:sz w:val="32"/>
          <w:szCs w:val="32"/>
        </w:rPr>
        <w:t>”</w:t>
      </w:r>
      <w:r>
        <w:rPr>
          <w:rFonts w:ascii="??_GB2312" w:eastAsia="Times New Roman" w:cs="Times New Roman"/>
          <w:color w:val="484747"/>
          <w:sz w:val="32"/>
          <w:szCs w:val="32"/>
        </w:rPr>
        <w:t>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5NDMwNmExMzhmNWIwYmQ1Y2ZkN2QyYTBlODFkZmMifQ=="/>
  </w:docVars>
  <w:rsids>
    <w:rsidRoot w:val="00131791"/>
    <w:rsid w:val="000D48A8"/>
    <w:rsid w:val="00131791"/>
    <w:rsid w:val="005B5B73"/>
    <w:rsid w:val="009F5011"/>
    <w:rsid w:val="00DC56FA"/>
    <w:rsid w:val="00DE436E"/>
    <w:rsid w:val="02F45CCB"/>
    <w:rsid w:val="03F71A1B"/>
    <w:rsid w:val="03FF239F"/>
    <w:rsid w:val="0C637C4A"/>
    <w:rsid w:val="13EF7323"/>
    <w:rsid w:val="154F44EA"/>
    <w:rsid w:val="173268F9"/>
    <w:rsid w:val="1D607E49"/>
    <w:rsid w:val="26D22661"/>
    <w:rsid w:val="272C17A9"/>
    <w:rsid w:val="286106E3"/>
    <w:rsid w:val="289344CC"/>
    <w:rsid w:val="296A00B5"/>
    <w:rsid w:val="2EFD3361"/>
    <w:rsid w:val="2F8C268B"/>
    <w:rsid w:val="32A9687F"/>
    <w:rsid w:val="3AF85078"/>
    <w:rsid w:val="3C812472"/>
    <w:rsid w:val="44882114"/>
    <w:rsid w:val="461C7176"/>
    <w:rsid w:val="489F5C16"/>
    <w:rsid w:val="493E4FA7"/>
    <w:rsid w:val="4D676489"/>
    <w:rsid w:val="539F4335"/>
    <w:rsid w:val="53B50516"/>
    <w:rsid w:val="58FA7DB6"/>
    <w:rsid w:val="5A5C35F7"/>
    <w:rsid w:val="5BD2255E"/>
    <w:rsid w:val="5F2768B7"/>
    <w:rsid w:val="623F20F6"/>
    <w:rsid w:val="647C5B23"/>
    <w:rsid w:val="656C72A4"/>
    <w:rsid w:val="68552651"/>
    <w:rsid w:val="6D0E4284"/>
    <w:rsid w:val="6F57624B"/>
    <w:rsid w:val="75621326"/>
    <w:rsid w:val="764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FollowedHyperlink"/>
    <w:basedOn w:val="4"/>
    <w:qFormat/>
    <w:uiPriority w:val="99"/>
    <w:rPr>
      <w:color w:val="auto"/>
      <w:u w:val="none"/>
    </w:rPr>
  </w:style>
  <w:style w:type="character" w:styleId="6">
    <w:name w:val="Hyperlink"/>
    <w:basedOn w:val="4"/>
    <w:qFormat/>
    <w:uiPriority w:val="99"/>
    <w:rPr>
      <w:color w:val="auto"/>
      <w:u w:val="none"/>
    </w:rPr>
  </w:style>
  <w:style w:type="paragraph" w:customStyle="1" w:styleId="7">
    <w:name w:val="正文 New New New New New New New New New"/>
    <w:basedOn w:val="1"/>
    <w:qFormat/>
    <w:uiPriority w:val="99"/>
    <w:rPr>
      <w:rFonts w:ascii="Times New Roman" w:hAnsi="Times New Roman" w:cs="Times New Roman"/>
    </w:rPr>
  </w:style>
  <w:style w:type="character" w:customStyle="1" w:styleId="8">
    <w:name w:val="font01"/>
    <w:basedOn w:val="4"/>
    <w:qFormat/>
    <w:uiPriority w:val="0"/>
    <w:rPr>
      <w:rFonts w:hint="default" w:ascii="方正书宋_GBK" w:hAnsi="方正书宋_GBK" w:eastAsia="方正书宋_GBK" w:cs="方正书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3278</Words>
  <Characters>3495</Characters>
  <Lines>0</Lines>
  <Paragraphs>0</Paragraphs>
  <TotalTime>23</TotalTime>
  <ScaleCrop>false</ScaleCrop>
  <LinksUpToDate>false</LinksUpToDate>
  <CharactersWithSpaces>3520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二柔</cp:lastModifiedBy>
  <cp:lastPrinted>2023-06-01T01:29:56Z</cp:lastPrinted>
  <dcterms:modified xsi:type="dcterms:W3CDTF">2023-06-01T01:38:25Z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B89B2DBAEDB74658A647FDEDB0548478_12</vt:lpwstr>
  </property>
</Properties>
</file>