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600" w:lineRule="exact"/>
        <w:ind w:lef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中共大城县委组织部</w:t>
      </w:r>
      <w:r>
        <w:rPr>
          <w:rFonts w:hint="eastAsia" w:ascii="方正小标宋简体" w:hAnsi="方正小标宋简体" w:eastAsia="方正小标宋简体" w:cs="方正小标宋简体"/>
          <w:sz w:val="44"/>
          <w:szCs w:val="44"/>
        </w:rPr>
        <w:t>2023年</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预算信息公开情况说明</w:t>
      </w:r>
    </w:p>
    <w:p>
      <w:pPr>
        <w:keepNext w:val="0"/>
        <w:keepLines w:val="0"/>
        <w:pageBreakBefore w:val="0"/>
        <w:kinsoku/>
        <w:wordWrap/>
        <w:topLinePunct w:val="0"/>
        <w:bidi w:val="0"/>
        <w:spacing w:line="600" w:lineRule="exact"/>
        <w:ind w:left="0" w:firstLine="880" w:firstLineChars="200"/>
        <w:jc w:val="center"/>
        <w:rPr>
          <w:rFonts w:ascii="Times New Roman" w:hAnsi="Times New Roman" w:eastAsia="仿宋_GB2312" w:cs="Times New Roman"/>
          <w:sz w:val="44"/>
          <w:szCs w:val="44"/>
        </w:rPr>
      </w:pP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中共大城县委组织部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keepNext w:val="0"/>
        <w:keepLines w:val="0"/>
        <w:pageBreakBefore w:val="0"/>
        <w:kinsoku/>
        <w:wordWrap/>
        <w:topLinePunct w:val="0"/>
        <w:bidi w:val="0"/>
        <w:spacing w:line="60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keepNext w:val="0"/>
        <w:keepLines w:val="0"/>
        <w:pageBreakBefore w:val="0"/>
        <w:kinsoku/>
        <w:wordWrap/>
        <w:topLinePunct w:val="0"/>
        <w:bidi w:val="0"/>
        <w:spacing w:line="600" w:lineRule="exact"/>
        <w:ind w:left="0"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kinsoku/>
        <w:wordWrap/>
        <w:topLinePunct w:val="0"/>
        <w:bidi w:val="0"/>
        <w:spacing w:line="600" w:lineRule="exact"/>
        <w:ind w:left="0" w:firstLine="640"/>
        <w:rPr>
          <w:rFonts w:ascii="仿宋_GB2312" w:hAnsi="仿宋_GB2312" w:eastAsia="仿宋_GB2312" w:cs="仿宋_GB2312"/>
          <w:b/>
          <w:sz w:val="32"/>
          <w:szCs w:val="32"/>
        </w:rPr>
      </w:pPr>
      <w:r>
        <w:rPr>
          <w:rFonts w:hint="eastAsia" w:ascii="仿宋_GB2312" w:hAnsi="仿宋_GB2312" w:eastAsia="仿宋_GB2312" w:cs="仿宋_GB2312"/>
          <w:bCs/>
          <w:sz w:val="32"/>
          <w:szCs w:val="32"/>
        </w:rPr>
        <w:t>1、根据党的路线、方针、政策和县委及上级组织部的要求，结合本县实际，搞好调查研究。提出组织工作规划、要点和具体措施，经县委批准后，认真贯彻执行。</w:t>
      </w:r>
    </w:p>
    <w:p>
      <w:pPr>
        <w:keepNext w:val="0"/>
        <w:keepLines w:val="0"/>
        <w:pageBreakBefore w:val="0"/>
        <w:widowControl/>
        <w:kinsoku/>
        <w:wordWrap/>
        <w:topLinePunct w:val="0"/>
        <w:bidi w:val="0"/>
        <w:spacing w:line="600" w:lineRule="exact"/>
        <w:ind w:left="0" w:firstLine="640"/>
        <w:rPr>
          <w:rFonts w:ascii="仿宋_GB2312" w:hAnsi="仿宋_GB2312" w:eastAsia="仿宋_GB2312" w:cs="仿宋_GB2312"/>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
          <w:sz w:val="32"/>
          <w:szCs w:val="32"/>
        </w:rPr>
        <w:t>、</w:t>
      </w:r>
      <w:r>
        <w:rPr>
          <w:rFonts w:hint="eastAsia" w:ascii="仿宋_GB2312" w:hAnsi="仿宋_GB2312" w:eastAsia="仿宋_GB2312" w:cs="仿宋_GB2312"/>
          <w:kern w:val="0"/>
          <w:sz w:val="32"/>
          <w:szCs w:val="32"/>
        </w:rPr>
        <w:t>负责督促检查指导各乡镇（区、处）、各县直机关党组织贯彻民主集中制、坚持集体领导和组织生活的情况，总结经验，提出指导意见和措施，并向县委和上级组织部做出报告。</w:t>
      </w:r>
    </w:p>
    <w:p>
      <w:pPr>
        <w:keepNext w:val="0"/>
        <w:keepLines w:val="0"/>
        <w:pageBreakBefore w:val="0"/>
        <w:widowControl/>
        <w:kinsoku/>
        <w:wordWrap/>
        <w:topLinePunct w:val="0"/>
        <w:bidi w:val="0"/>
        <w:spacing w:line="600" w:lineRule="exact"/>
        <w:ind w:left="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3、负责贯彻执行党的干部路线和干部政策，干部管理和干部考察任免，合理调配和使用干部。负责干部培训，提高干部队伍素质工作。</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4、参照管理单位股级以下干部职工的考核与奖惩。</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按照干部“四化”方针和德才兼备的原则，加强领导班子建设。负责局乡级领导班子和领导干部的考察工作，提出调整、配备方案，负责部管干部的考察、任免、调配工作，负责后备干部和优秀中青年干部的选拔、培养教育和推荐领导班子的拟任人选，推进干部制度改革。搞好干部交流。</w:t>
      </w:r>
    </w:p>
    <w:p>
      <w:pPr>
        <w:keepNext w:val="0"/>
        <w:keepLines w:val="0"/>
        <w:pageBreakBefore w:val="0"/>
        <w:widowControl/>
        <w:kinsoku/>
        <w:wordWrap/>
        <w:topLinePunct w:val="0"/>
        <w:bidi w:val="0"/>
        <w:spacing w:line="600" w:lineRule="exact"/>
        <w:ind w:left="0"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6、负责基层党组织建设、党员教育、党员管理和发展党员工作，不断提高党员质量和基层党组织的战斗力。</w:t>
      </w:r>
    </w:p>
    <w:p>
      <w:pPr>
        <w:keepNext w:val="0"/>
        <w:keepLines w:val="0"/>
        <w:pageBreakBefore w:val="0"/>
        <w:widowControl/>
        <w:kinsoku/>
        <w:wordWrap/>
        <w:topLinePunct w:val="0"/>
        <w:bidi w:val="0"/>
        <w:spacing w:line="600" w:lineRule="exact"/>
        <w:ind w:left="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7、落实干部政策和知识分子政策，充分发挥知识分子在经济建设中的作用，选拔和管理好拔尖人才。负责受理党员、干部申诉，党员、干部的来信来访工作。</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8、负责党组织、党员、干部的统计，干部档案和文书档案的管理，党费的收缴、管理和使用。</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9、积极协同老干部工作部门做好老干部的安置和管理工作，配合党的纪律检查部门抓好干部队伍的廉政建设。</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10、负责全县的组织史资料的征集、编纂工作。</w:t>
      </w:r>
    </w:p>
    <w:p>
      <w:pPr>
        <w:keepNext w:val="0"/>
        <w:keepLines w:val="0"/>
        <w:pageBreakBefore w:val="0"/>
        <w:widowControl/>
        <w:kinsoku/>
        <w:wordWrap/>
        <w:topLinePunct w:val="0"/>
        <w:bidi w:val="0"/>
        <w:spacing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11、抓好组织部门的自身建设。</w:t>
      </w:r>
    </w:p>
    <w:p>
      <w:pPr>
        <w:keepNext w:val="0"/>
        <w:keepLines w:val="0"/>
        <w:pageBreakBefore w:val="0"/>
        <w:kinsoku/>
        <w:wordWrap/>
        <w:topLinePunct w:val="0"/>
        <w:autoSpaceDE w:val="0"/>
        <w:autoSpaceDN w:val="0"/>
        <w:bidi w:val="0"/>
        <w:adjustRightInd w:val="0"/>
        <w:spacing w:line="600" w:lineRule="exact"/>
        <w:ind w:left="0" w:firstLine="630" w:firstLineChars="196"/>
        <w:jc w:val="left"/>
        <w:rPr>
          <w:rFonts w:ascii="Times New Roman" w:hAnsi="Times New Roman" w:eastAsia="楷体_GB2312"/>
          <w:b/>
          <w:sz w:val="32"/>
          <w:szCs w:val="32"/>
        </w:rPr>
      </w:pPr>
      <w:r>
        <w:rPr>
          <w:rFonts w:ascii="Times New Roman" w:hAnsi="Times New Roman" w:eastAsia="楷体_GB2312"/>
          <w:b/>
          <w:sz w:val="32"/>
          <w:szCs w:val="32"/>
        </w:rPr>
        <w:t>机构设置：</w:t>
      </w:r>
    </w:p>
    <w:p>
      <w:pPr>
        <w:keepNext w:val="0"/>
        <w:keepLines w:val="0"/>
        <w:pageBreakBefore w:val="0"/>
        <w:kinsoku/>
        <w:wordWrap/>
        <w:topLinePunct w:val="0"/>
        <w:bidi w:val="0"/>
        <w:spacing w:line="600" w:lineRule="exact"/>
        <w:ind w:left="0"/>
        <w:jc w:val="center"/>
        <w:outlineLvl w:val="0"/>
        <w:rPr>
          <w:rFonts w:ascii="Times New Roman" w:hAnsi="Times New Roman" w:eastAsia="仿宋_GB2312"/>
          <w:b/>
          <w:sz w:val="32"/>
          <w:szCs w:val="24"/>
        </w:rPr>
      </w:pPr>
      <w:r>
        <w:rPr>
          <w:rFonts w:hint="eastAsia" w:ascii="Times New Roman" w:hAnsi="Times New Roman" w:eastAsia="仿宋_GB2312"/>
          <w:b/>
          <w:sz w:val="32"/>
          <w:szCs w:val="24"/>
          <w:lang w:eastAsia="zh-CN"/>
        </w:rPr>
        <w:t>单位</w:t>
      </w:r>
      <w:r>
        <w:rPr>
          <w:rFonts w:ascii="Times New Roman" w:hAnsi="Times New Roman" w:eastAsia="仿宋_GB2312"/>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szCs w:val="24"/>
              </w:rPr>
            </w:pPr>
            <w:r>
              <w:rPr>
                <w:rFonts w:ascii="Times New Roman" w:hAnsi="Times New Roman" w:eastAsia="仿宋_GB2312"/>
                <w:b/>
                <w:szCs w:val="24"/>
              </w:rPr>
              <w:t>单位名称</w:t>
            </w:r>
          </w:p>
        </w:tc>
        <w:tc>
          <w:tcPr>
            <w:tcW w:w="1134" w:type="dxa"/>
            <w:vMerge w:val="restart"/>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szCs w:val="24"/>
              </w:rPr>
            </w:pPr>
            <w:r>
              <w:rPr>
                <w:rFonts w:ascii="Times New Roman" w:hAnsi="Times New Roman" w:eastAsia="仿宋_GB2312"/>
                <w:b/>
                <w:szCs w:val="24"/>
              </w:rPr>
              <w:t>单位性质</w:t>
            </w:r>
          </w:p>
        </w:tc>
        <w:tc>
          <w:tcPr>
            <w:tcW w:w="1276" w:type="dxa"/>
            <w:vMerge w:val="restart"/>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szCs w:val="24"/>
              </w:rPr>
            </w:pPr>
            <w:r>
              <w:rPr>
                <w:rFonts w:ascii="Times New Roman" w:hAnsi="Times New Roman" w:eastAsia="仿宋_GB2312"/>
                <w:b/>
                <w:szCs w:val="24"/>
              </w:rPr>
              <w:t>单位规格</w:t>
            </w:r>
          </w:p>
        </w:tc>
        <w:tc>
          <w:tcPr>
            <w:tcW w:w="2902" w:type="dxa"/>
            <w:vMerge w:val="restart"/>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szCs w:val="24"/>
              </w:rPr>
            </w:pPr>
            <w:r>
              <w:rPr>
                <w:rFonts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pPr>
              <w:keepNext w:val="0"/>
              <w:keepLines w:val="0"/>
              <w:pageBreakBefore w:val="0"/>
              <w:kinsoku/>
              <w:wordWrap/>
              <w:topLinePunct w:val="0"/>
              <w:bidi w:val="0"/>
              <w:spacing w:line="600" w:lineRule="exact"/>
              <w:ind w:left="0"/>
              <w:jc w:val="left"/>
              <w:outlineLvl w:val="0"/>
              <w:rPr>
                <w:rFonts w:ascii="Times New Roman" w:hAnsi="Times New Roman" w:eastAsia="仿宋_GB2312"/>
                <w:szCs w:val="24"/>
              </w:rPr>
            </w:pPr>
          </w:p>
        </w:tc>
        <w:tc>
          <w:tcPr>
            <w:tcW w:w="1134" w:type="dxa"/>
            <w:vMerge w:val="continue"/>
            <w:noWrap w:val="0"/>
            <w:vAlign w:val="center"/>
          </w:tcPr>
          <w:p>
            <w:pPr>
              <w:keepNext w:val="0"/>
              <w:keepLines w:val="0"/>
              <w:pageBreakBefore w:val="0"/>
              <w:kinsoku/>
              <w:wordWrap/>
              <w:topLinePunct w:val="0"/>
              <w:bidi w:val="0"/>
              <w:spacing w:line="600" w:lineRule="exact"/>
              <w:ind w:left="0"/>
              <w:jc w:val="left"/>
              <w:outlineLvl w:val="0"/>
              <w:rPr>
                <w:rFonts w:ascii="Times New Roman" w:hAnsi="Times New Roman" w:eastAsia="仿宋_GB2312"/>
                <w:szCs w:val="24"/>
              </w:rPr>
            </w:pPr>
          </w:p>
        </w:tc>
        <w:tc>
          <w:tcPr>
            <w:tcW w:w="1276" w:type="dxa"/>
            <w:vMerge w:val="continue"/>
            <w:noWrap w:val="0"/>
            <w:vAlign w:val="center"/>
          </w:tcPr>
          <w:p>
            <w:pPr>
              <w:keepNext w:val="0"/>
              <w:keepLines w:val="0"/>
              <w:pageBreakBefore w:val="0"/>
              <w:kinsoku/>
              <w:wordWrap/>
              <w:topLinePunct w:val="0"/>
              <w:bidi w:val="0"/>
              <w:spacing w:line="600" w:lineRule="exact"/>
              <w:ind w:left="0"/>
              <w:jc w:val="left"/>
              <w:outlineLvl w:val="0"/>
              <w:rPr>
                <w:rFonts w:ascii="Times New Roman" w:hAnsi="Times New Roman" w:eastAsia="仿宋_GB2312"/>
                <w:szCs w:val="24"/>
              </w:rPr>
            </w:pPr>
          </w:p>
        </w:tc>
        <w:tc>
          <w:tcPr>
            <w:tcW w:w="2902" w:type="dxa"/>
            <w:vMerge w:val="continue"/>
            <w:noWrap w:val="0"/>
            <w:vAlign w:val="center"/>
          </w:tcPr>
          <w:p>
            <w:pPr>
              <w:keepNext w:val="0"/>
              <w:keepLines w:val="0"/>
              <w:pageBreakBefore w:val="0"/>
              <w:kinsoku/>
              <w:wordWrap/>
              <w:topLinePunct w:val="0"/>
              <w:bidi w:val="0"/>
              <w:spacing w:line="600" w:lineRule="exact"/>
              <w:ind w:left="0"/>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b/>
              </w:rPr>
            </w:pPr>
            <w:r>
              <w:rPr>
                <w:rFonts w:ascii="Times New Roman" w:hAnsi="Times New Roman" w:eastAsia="仿宋_GB2312"/>
                <w:b/>
              </w:rPr>
              <w:t>合计</w:t>
            </w:r>
          </w:p>
        </w:tc>
        <w:tc>
          <w:tcPr>
            <w:tcW w:w="1134"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中共大城县委组织部</w:t>
            </w:r>
          </w:p>
        </w:tc>
        <w:tc>
          <w:tcPr>
            <w:tcW w:w="1134"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noWrap w:val="0"/>
            <w:vAlign w:val="center"/>
          </w:tcPr>
          <w:p>
            <w:pPr>
              <w:keepNext w:val="0"/>
              <w:keepLines w:val="0"/>
              <w:pageBreakBefore w:val="0"/>
              <w:kinsoku/>
              <w:wordWrap/>
              <w:topLinePunct w:val="0"/>
              <w:bidi w:val="0"/>
              <w:spacing w:line="600" w:lineRule="exact"/>
              <w:ind w:left="0"/>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keepNext w:val="0"/>
        <w:keepLines w:val="0"/>
        <w:pageBreakBefore w:val="0"/>
        <w:kinsoku/>
        <w:wordWrap/>
        <w:topLinePunct w:val="0"/>
        <w:bidi w:val="0"/>
        <w:spacing w:line="600" w:lineRule="exact"/>
        <w:ind w:left="0" w:firstLine="640" w:firstLineChars="200"/>
        <w:rPr>
          <w:rFonts w:ascii="Times New Roman" w:hAnsi="Times New Roman" w:eastAsia="仿宋" w:cs="Times New Roman"/>
          <w:color w:val="FF0000"/>
          <w:sz w:val="32"/>
          <w:szCs w:val="32"/>
        </w:rPr>
      </w:pPr>
    </w:p>
    <w:p>
      <w:pPr>
        <w:keepNext w:val="0"/>
        <w:keepLines w:val="0"/>
        <w:pageBreakBefore w:val="0"/>
        <w:kinsoku/>
        <w:wordWrap/>
        <w:topLinePunct w:val="0"/>
        <w:bidi w:val="0"/>
        <w:spacing w:line="60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1、收入说明</w:t>
      </w:r>
    </w:p>
    <w:p>
      <w:pPr>
        <w:keepNext w:val="0"/>
        <w:keepLines w:val="0"/>
        <w:pageBreakBefore w:val="0"/>
        <w:kinsoku/>
        <w:wordWrap/>
        <w:topLinePunct w:val="0"/>
        <w:bidi w:val="0"/>
        <w:spacing w:line="600" w:lineRule="exact"/>
        <w:ind w:left="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反映本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当年全部收入。202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年预算收入</w:t>
      </w:r>
      <w:r>
        <w:rPr>
          <w:rFonts w:hint="eastAsia" w:ascii="仿宋_GB2312" w:hAnsi="仿宋_GB2312" w:eastAsia="仿宋_GB2312" w:cs="仿宋_GB2312"/>
          <w:bCs/>
          <w:sz w:val="32"/>
          <w:szCs w:val="32"/>
          <w:lang w:val="en-US" w:eastAsia="zh-CN"/>
        </w:rPr>
        <w:t>5756.13</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5746.47</w:t>
      </w:r>
      <w:r>
        <w:rPr>
          <w:rFonts w:hint="eastAsia" w:ascii="仿宋_GB2312" w:hAnsi="仿宋_GB2312" w:eastAsia="仿宋_GB2312" w:cs="仿宋_GB2312"/>
          <w:sz w:val="32"/>
          <w:szCs w:val="32"/>
        </w:rPr>
        <w:t>万元，基金预算收入0万元，财政专户核拨收入0万元，其他来源收入0万元，上年结转</w:t>
      </w:r>
      <w:r>
        <w:rPr>
          <w:rFonts w:hint="eastAsia" w:ascii="仿宋_GB2312" w:hAnsi="仿宋_GB2312" w:eastAsia="仿宋_GB2312" w:cs="仿宋_GB2312"/>
          <w:sz w:val="32"/>
          <w:szCs w:val="32"/>
          <w:lang w:val="en-US" w:eastAsia="zh-CN"/>
        </w:rPr>
        <w:t>34.47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topLinePunct w:val="0"/>
        <w:bidi w:val="0"/>
        <w:spacing w:line="600" w:lineRule="exact"/>
        <w:ind w:left="0" w:firstLine="640" w:firstLineChars="200"/>
        <w:rPr>
          <w:rFonts w:hint="default" w:ascii="Times New Roman" w:hAnsi="Times New Roman" w:eastAsia="仿宋_GB2312" w:cs="Times New Roman"/>
          <w:b w:val="0"/>
          <w:bCs/>
          <w:sz w:val="32"/>
          <w:szCs w:val="32"/>
          <w:lang w:val="en-US" w:eastAsia="zh-CN"/>
        </w:rPr>
      </w:pPr>
      <w:r>
        <w:rPr>
          <w:rFonts w:ascii="Times New Roman" w:hAnsi="Times New Roman" w:eastAsia="仿宋_GB2312" w:cs="Times New Roman"/>
          <w:b w:val="0"/>
          <w:bCs/>
          <w:sz w:val="32"/>
          <w:szCs w:val="32"/>
        </w:rPr>
        <w:t>2、支出说明</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中共大城县委组织部</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5756.13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1430.49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1266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164.49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4325.64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农村两委工资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选调生经费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党建经费</w:t>
      </w:r>
      <w:r>
        <w:rPr>
          <w:rFonts w:ascii="Times New Roman" w:hAnsi="Times New Roman" w:eastAsia="仿宋_GB2312" w:cs="Times New Roman"/>
          <w:sz w:val="32"/>
          <w:szCs w:val="32"/>
        </w:rPr>
        <w:t>等。</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b w:val="0"/>
          <w:bCs/>
          <w:sz w:val="32"/>
          <w:szCs w:val="32"/>
        </w:rPr>
      </w:pPr>
      <w:r>
        <w:rPr>
          <w:rFonts w:ascii="Times New Roman" w:hAnsi="Times New Roman" w:eastAsia="仿宋_GB2312" w:cs="Times New Roman"/>
          <w:b w:val="0"/>
          <w:bCs/>
          <w:sz w:val="32"/>
          <w:szCs w:val="32"/>
        </w:rPr>
        <w:t>3、比上年增减情况</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5756.13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159.26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329.19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人员调资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488.45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农村两委工资等</w:t>
      </w:r>
      <w:r>
        <w:rPr>
          <w:rFonts w:ascii="Times New Roman" w:hAnsi="Times New Roman" w:eastAsia="仿宋_GB2312" w:cs="Times New Roman"/>
          <w:sz w:val="32"/>
          <w:szCs w:val="32"/>
        </w:rPr>
        <w:t>项目支出。</w:t>
      </w: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164.49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keepNext w:val="0"/>
        <w:keepLines w:val="0"/>
        <w:pageBreakBefore w:val="0"/>
        <w:kinsoku/>
        <w:wordWrap/>
        <w:topLinePunct w:val="0"/>
        <w:autoSpaceDE w:val="0"/>
        <w:autoSpaceDN w:val="0"/>
        <w:bidi w:val="0"/>
        <w:adjustRightInd w:val="0"/>
        <w:spacing w:line="600" w:lineRule="exact"/>
        <w:ind w:left="0"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公务用车购置及运维费万</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元（其中：公务用车购置费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hint="eastAsia" w:ascii="Times New Roman" w:hAnsi="Times New Roman" w:eastAsia="仿宋_GB2312" w:cs="Times New Roman"/>
          <w:sz w:val="32"/>
          <w:szCs w:val="32"/>
          <w:lang w:eastAsia="zh-CN"/>
        </w:rPr>
        <w:t>。</w:t>
      </w:r>
    </w:p>
    <w:p>
      <w:pPr>
        <w:keepNext w:val="0"/>
        <w:keepLines w:val="0"/>
        <w:pageBreakBefore w:val="0"/>
        <w:kinsoku/>
        <w:wordWrap/>
        <w:topLinePunct w:val="0"/>
        <w:bidi w:val="0"/>
        <w:spacing w:line="600" w:lineRule="exact"/>
        <w:ind w:left="0"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keepNext w:val="0"/>
        <w:keepLines w:val="0"/>
        <w:pageBreakBefore w:val="0"/>
        <w:kinsoku/>
        <w:wordWrap/>
        <w:topLinePunct w:val="0"/>
        <w:bidi w:val="0"/>
        <w:spacing w:line="600" w:lineRule="exact"/>
        <w:ind w:left="0"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keepNext w:val="0"/>
        <w:keepLines w:val="0"/>
        <w:pageBreakBefore w:val="0"/>
        <w:kinsoku/>
        <w:wordWrap/>
        <w:topLinePunct w:val="0"/>
        <w:bidi w:val="0"/>
        <w:spacing w:line="600" w:lineRule="exact"/>
        <w:ind w:left="0"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（一）总体绩效目标</w:t>
      </w:r>
    </w:p>
    <w:p>
      <w:pPr>
        <w:pStyle w:val="2"/>
        <w:keepNext w:val="0"/>
        <w:keepLines w:val="0"/>
        <w:pageBreakBefore w:val="0"/>
        <w:kinsoku/>
        <w:wordWrap/>
        <w:topLinePunct w:val="0"/>
        <w:bidi w:val="0"/>
        <w:spacing w:line="600" w:lineRule="exact"/>
        <w:ind w:left="0" w:firstLine="640" w:firstLineChars="200"/>
        <w:jc w:val="both"/>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深入学习贯彻</w:t>
      </w:r>
      <w:r>
        <w:rPr>
          <w:rFonts w:hint="eastAsia" w:ascii="仿宋_GB2312" w:hAnsi="仿宋_GB2312" w:eastAsia="仿宋_GB2312" w:cs="仿宋_GB2312"/>
          <w:bCs/>
          <w:color w:val="000000"/>
          <w:lang w:eastAsia="zh-CN"/>
        </w:rPr>
        <w:t>党的方针政策</w:t>
      </w:r>
      <w:r>
        <w:rPr>
          <w:rFonts w:hint="eastAsia" w:ascii="仿宋_GB2312" w:hAnsi="仿宋_GB2312" w:eastAsia="仿宋_GB2312" w:cs="仿宋_GB2312"/>
          <w:bCs/>
          <w:color w:val="000000"/>
        </w:rPr>
        <w:t>，贯彻落实县委全会精神，树牢“四个意识”、坚定“四个自信”、坚决做到“两个维护”，坚持和加强党的全面领导，坚持党要管党、全面从严治党，以党的政治建设为统领，持续巩固“不忘初心、牢记使命”主题教育，扎实推进党的组织体系建设，着力培养忠诚干净担当的高素质专业化干部，着力集聚爱国奉献的各方面优秀人才，强化责任担当、锐意改革创新、狠抓工作落实，为新时代全面建设经济强县、大美大城提供坚强的组织保证。</w:t>
      </w:r>
    </w:p>
    <w:p>
      <w:pPr>
        <w:keepNext w:val="0"/>
        <w:keepLines w:val="0"/>
        <w:pageBreakBefore w:val="0"/>
        <w:kinsoku/>
        <w:wordWrap/>
        <w:topLinePunct w:val="0"/>
        <w:bidi w:val="0"/>
        <w:spacing w:line="600" w:lineRule="exact"/>
        <w:ind w:left="0"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（二）分项绩效目标</w:t>
      </w:r>
    </w:p>
    <w:p>
      <w:pPr>
        <w:pStyle w:val="2"/>
        <w:keepNext w:val="0"/>
        <w:keepLines w:val="0"/>
        <w:pageBreakBefore w:val="0"/>
        <w:kinsoku/>
        <w:wordWrap/>
        <w:topLinePunct w:val="0"/>
        <w:bidi w:val="0"/>
        <w:spacing w:line="600" w:lineRule="exact"/>
        <w:ind w:left="0" w:firstLine="640" w:firstLineChars="200"/>
        <w:jc w:val="both"/>
        <w:rPr>
          <w:rFonts w:hint="eastAsia" w:ascii="仿宋_GB2312" w:hAnsi="仿宋_GB2312" w:eastAsia="仿宋_GB2312" w:cs="仿宋_GB2312"/>
          <w:b w:val="0"/>
          <w:bCs/>
        </w:rPr>
      </w:pPr>
      <w:r>
        <w:rPr>
          <w:rFonts w:hint="eastAsia" w:ascii="仿宋_GB2312" w:hAnsi="仿宋_GB2312" w:eastAsia="仿宋_GB2312" w:cs="仿宋_GB2312"/>
          <w:b w:val="0"/>
          <w:bCs/>
          <w:lang w:val="en-US" w:eastAsia="zh-CN"/>
        </w:rPr>
        <w:t>1、</w:t>
      </w:r>
      <w:r>
        <w:rPr>
          <w:rFonts w:hint="eastAsia" w:ascii="仿宋_GB2312" w:hAnsi="仿宋_GB2312" w:eastAsia="仿宋_GB2312" w:cs="仿宋_GB2312"/>
          <w:b w:val="0"/>
          <w:bCs/>
          <w:color w:val="000000"/>
          <w:kern w:val="2"/>
          <w:lang w:val="en-US" w:bidi="ar-SA"/>
        </w:rPr>
        <w:t>加强组织体系建设，全面增强基层党组织政治功能</w:t>
      </w:r>
    </w:p>
    <w:p>
      <w:pPr>
        <w:pStyle w:val="24"/>
        <w:keepNext w:val="0"/>
        <w:keepLines w:val="0"/>
        <w:pageBreakBefore w:val="0"/>
        <w:kinsoku/>
        <w:wordWrap/>
        <w:topLinePunct w:val="0"/>
        <w:bidi w:val="0"/>
        <w:spacing w:line="600" w:lineRule="exact"/>
        <w:ind w:left="0"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rPr>
        <w:t>绩效目标：</w:t>
      </w:r>
      <w:r>
        <w:rPr>
          <w:rFonts w:hint="eastAsia" w:ascii="仿宋_GB2312" w:hAnsi="仿宋_GB2312" w:eastAsia="仿宋_GB2312" w:cs="仿宋_GB2312"/>
          <w:b w:val="0"/>
          <w:bCs w:val="0"/>
          <w:color w:val="000000"/>
        </w:rPr>
        <w:t>锻造坚强有力组织体系，不断提高基层党组织建设质量，着力加强党员队伍建设。</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 w:hAnsi="仿宋" w:eastAsia="仿宋" w:cs="楷体_GB2312"/>
          <w:bCs/>
          <w:color w:val="000000"/>
        </w:rPr>
      </w:pPr>
      <w:r>
        <w:rPr>
          <w:rFonts w:hint="eastAsia" w:ascii="仿宋_GB2312" w:hAnsi="仿宋_GB2312" w:eastAsia="仿宋_GB2312" w:cs="仿宋_GB2312"/>
          <w:b w:val="0"/>
          <w:bCs w:val="0"/>
        </w:rPr>
        <w:t>绩效指标：</w:t>
      </w:r>
      <w:r>
        <w:rPr>
          <w:rFonts w:hint="eastAsia" w:ascii="仿宋_GB2312" w:hAnsi="仿宋_GB2312" w:eastAsia="仿宋_GB2312" w:cs="仿宋_GB2312"/>
          <w:bCs/>
          <w:color w:val="000000"/>
        </w:rPr>
        <w:t>牢固树立大抓基层鲜明导向，紧紧围绕组织体系建设这个重点，以贯彻《中国共产党支部工作条例（试行）》为抓手，抓实村干部和党员两支队伍，强化示范引领、投入保障、阵地建设三个方面，统筹社区、机关、“两新”、教育、卫生五个领域，推动基层党建全面进步。</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_GB2312" w:hAnsi="仿宋_GB2312" w:eastAsia="仿宋_GB2312" w:cs="仿宋_GB2312"/>
          <w:b w:val="0"/>
          <w:bCs/>
          <w:color w:val="000000"/>
          <w:kern w:val="2"/>
          <w:lang w:val="en-US" w:bidi="ar-SA"/>
        </w:rPr>
      </w:pPr>
      <w:r>
        <w:rPr>
          <w:rFonts w:hint="eastAsia" w:ascii="仿宋_GB2312" w:hAnsi="仿宋_GB2312" w:eastAsia="仿宋_GB2312" w:cs="仿宋_GB2312"/>
          <w:b w:val="0"/>
          <w:bCs/>
          <w:lang w:val="en-US" w:eastAsia="zh-CN"/>
        </w:rPr>
        <w:t>2、</w:t>
      </w:r>
      <w:r>
        <w:rPr>
          <w:rFonts w:hint="eastAsia" w:ascii="仿宋_GB2312" w:hAnsi="仿宋_GB2312" w:eastAsia="仿宋_GB2312" w:cs="仿宋_GB2312"/>
          <w:b w:val="0"/>
          <w:bCs/>
          <w:color w:val="000000"/>
          <w:kern w:val="2"/>
          <w:lang w:val="en-US" w:bidi="ar-SA"/>
        </w:rPr>
        <w:t>树立鲜明导向，着力培养选拔优秀干部</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kern w:val="0"/>
          <w:sz w:val="32"/>
          <w:szCs w:val="32"/>
          <w:lang w:val="zh-CN" w:bidi="zh-CN"/>
        </w:rPr>
        <w:t>绩效目标：</w:t>
      </w:r>
      <w:r>
        <w:rPr>
          <w:rFonts w:hint="eastAsia" w:ascii="仿宋_GB2312" w:hAnsi="仿宋_GB2312" w:eastAsia="仿宋_GB2312" w:cs="仿宋_GB2312"/>
          <w:b w:val="0"/>
          <w:bCs/>
          <w:color w:val="000000"/>
          <w:sz w:val="32"/>
          <w:szCs w:val="32"/>
        </w:rPr>
        <w:t>健全选人用人工作体系，培育忠诚干净担当的高素质干部队伍，落实“管思想、管工作、管作风、管纪律”要求，营造风清气正政治生态。不断加强各级干部理论武装，确保党员干部学习全覆盖。</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_GB2312" w:hAnsi="仿宋_GB2312" w:eastAsia="仿宋_GB2312" w:cs="仿宋_GB2312"/>
          <w:b w:val="0"/>
          <w:bCs/>
          <w:color w:val="000000"/>
          <w:lang w:eastAsia="zh-CN"/>
        </w:rPr>
      </w:pPr>
      <w:r>
        <w:rPr>
          <w:rFonts w:hint="eastAsia" w:ascii="仿宋_GB2312" w:hAnsi="仿宋_GB2312" w:eastAsia="仿宋_GB2312" w:cs="仿宋_GB2312"/>
          <w:b w:val="0"/>
          <w:bCs/>
        </w:rPr>
        <w:t>绩效指标：</w:t>
      </w:r>
      <w:r>
        <w:rPr>
          <w:rFonts w:hint="eastAsia" w:ascii="仿宋_GB2312" w:hAnsi="仿宋_GB2312" w:eastAsia="仿宋_GB2312" w:cs="仿宋_GB2312"/>
          <w:b w:val="0"/>
          <w:bCs/>
          <w:color w:val="000000"/>
        </w:rPr>
        <w:t>完善相关配套制度，建立健全素质培养、知事识人、选拔任用、从严管理、正向激励体系，着力提高选人用人的科学性和精准度。贯彻落实全国、全省和全市干部教育培训规划，</w:t>
      </w:r>
      <w:bookmarkStart w:id="2" w:name="_GoBack"/>
      <w:r>
        <w:rPr>
          <w:rFonts w:hint="eastAsia" w:ascii="仿宋_GB2312" w:hAnsi="仿宋_GB2312" w:eastAsia="仿宋_GB2312" w:cs="仿宋_GB2312"/>
          <w:b w:val="0"/>
          <w:bCs/>
          <w:color w:val="000000"/>
        </w:rPr>
        <w:t>坚持把习近平新时代中国特色社会主义思想教育培训作为首要任务，</w:t>
      </w:r>
      <w:bookmarkEnd w:id="2"/>
      <w:r>
        <w:rPr>
          <w:rFonts w:hint="eastAsia" w:ascii="仿宋_GB2312" w:hAnsi="仿宋_GB2312" w:eastAsia="仿宋_GB2312" w:cs="仿宋_GB2312"/>
          <w:b w:val="0"/>
          <w:bCs/>
          <w:color w:val="000000"/>
        </w:rPr>
        <w:t>加强政治训练，强化党章党规党纪、党的宗旨学习教育。严格干部队伍监督管理，及时扯袖子、咬耳朵，坚持抓早抓小、防微杜渐。着力激励干部担当作为，落实好“三个区分开来”要求，激发干部担当创业热情。</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_GB2312" w:hAnsi="仿宋_GB2312" w:eastAsia="仿宋_GB2312" w:cs="仿宋_GB2312"/>
          <w:b w:val="0"/>
          <w:bCs/>
          <w:color w:val="000000"/>
          <w:kern w:val="2"/>
          <w:lang w:val="en-US" w:eastAsia="zh-CN" w:bidi="ar-SA"/>
        </w:rPr>
      </w:pPr>
      <w:r>
        <w:rPr>
          <w:rFonts w:hint="eastAsia" w:ascii="仿宋_GB2312" w:hAnsi="仿宋_GB2312" w:eastAsia="仿宋_GB2312" w:cs="仿宋_GB2312"/>
          <w:b w:val="0"/>
          <w:bCs/>
          <w:lang w:val="en-US" w:eastAsia="zh-CN"/>
        </w:rPr>
        <w:t>3、</w:t>
      </w:r>
      <w:r>
        <w:rPr>
          <w:rFonts w:hint="eastAsia" w:ascii="仿宋_GB2312" w:hAnsi="仿宋_GB2312" w:eastAsia="仿宋_GB2312" w:cs="仿宋_GB2312"/>
          <w:b w:val="0"/>
          <w:bCs/>
          <w:color w:val="000000"/>
          <w:kern w:val="2"/>
          <w:lang w:val="en-US" w:bidi="ar-SA"/>
        </w:rPr>
        <w:t>提升引才育才成效，着力打造大城人才智力高地</w:t>
      </w:r>
    </w:p>
    <w:p>
      <w:pPr>
        <w:pStyle w:val="2"/>
        <w:keepNext w:val="0"/>
        <w:keepLines w:val="0"/>
        <w:pageBreakBefore w:val="0"/>
        <w:kinsoku/>
        <w:wordWrap/>
        <w:topLinePunct w:val="0"/>
        <w:autoSpaceDE/>
        <w:autoSpaceDN/>
        <w:bidi w:val="0"/>
        <w:spacing w:line="600" w:lineRule="exact"/>
        <w:ind w:left="0" w:firstLine="640" w:firstLineChars="200"/>
        <w:jc w:val="both"/>
        <w:rPr>
          <w:rFonts w:hint="eastAsia" w:ascii="仿宋_GB2312" w:hAnsi="仿宋_GB2312" w:eastAsia="仿宋_GB2312" w:cs="仿宋_GB2312"/>
          <w:b w:val="0"/>
          <w:bCs/>
          <w:color w:val="000000"/>
        </w:rPr>
      </w:pPr>
      <w:r>
        <w:rPr>
          <w:rFonts w:hint="eastAsia" w:ascii="仿宋_GB2312" w:hAnsi="仿宋_GB2312" w:eastAsia="仿宋_GB2312" w:cs="仿宋_GB2312"/>
          <w:b w:val="0"/>
          <w:bCs/>
        </w:rPr>
        <w:t>绩效目标：</w:t>
      </w:r>
      <w:r>
        <w:rPr>
          <w:rFonts w:hint="eastAsia" w:ascii="仿宋_GB2312" w:hAnsi="仿宋_GB2312" w:eastAsia="仿宋_GB2312" w:cs="仿宋_GB2312"/>
          <w:b w:val="0"/>
          <w:bCs/>
          <w:color w:val="000000"/>
        </w:rPr>
        <w:t>强化政治引领和政治吸纳，汇聚推动大城高质量发展的各方面优秀人才。</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kern w:val="0"/>
          <w:sz w:val="32"/>
          <w:szCs w:val="32"/>
          <w:lang w:val="zh-CN" w:bidi="zh-CN"/>
        </w:rPr>
        <w:t>绩效指标：</w:t>
      </w:r>
      <w:r>
        <w:rPr>
          <w:rFonts w:hint="eastAsia" w:ascii="仿宋_GB2312" w:hAnsi="仿宋_GB2312" w:eastAsia="仿宋_GB2312" w:cs="仿宋_GB2312"/>
          <w:b w:val="0"/>
          <w:bCs/>
          <w:color w:val="000000"/>
          <w:sz w:val="32"/>
          <w:szCs w:val="32"/>
        </w:rPr>
        <w:t>围绕全县农业、建设、水务和主导产业等领域发展，开展人才需求调查，全面掌握需求，采取项目合作和周末专家等形式引进急需紧缺型人才。实施企业人才“本土化”和“本企化”战略，通过带薪学习深造、以师带徒培训、岗位锻炼成才、校企合作等多种方式，加快人才培育，盘活和稳定现有人才队伍，为企业长远发展培养自己的人才。</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lang w:val="en-US" w:eastAsia="zh-CN"/>
        </w:rPr>
        <w:t>4、</w:t>
      </w:r>
      <w:r>
        <w:rPr>
          <w:rFonts w:hint="eastAsia" w:ascii="仿宋_GB2312" w:hAnsi="仿宋_GB2312" w:eastAsia="仿宋_GB2312" w:cs="仿宋_GB2312"/>
          <w:b w:val="0"/>
          <w:bCs/>
          <w:color w:val="000000"/>
          <w:sz w:val="32"/>
          <w:szCs w:val="32"/>
        </w:rPr>
        <w:t>服务老干部，积极促进老干部发挥参谋智囊团作用</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lang w:val="zh-CN" w:bidi="zh-CN"/>
        </w:rPr>
        <w:t>绩效目标：</w:t>
      </w:r>
      <w:r>
        <w:rPr>
          <w:rFonts w:hint="eastAsia" w:ascii="仿宋_GB2312" w:hAnsi="仿宋_GB2312" w:eastAsia="仿宋_GB2312" w:cs="仿宋_GB2312"/>
          <w:b w:val="0"/>
          <w:bCs/>
          <w:color w:val="000000"/>
          <w:sz w:val="32"/>
          <w:szCs w:val="32"/>
        </w:rPr>
        <w:t>抓好老干部政治和生活待遇落实，做好离退休干部服务工作，促进老干部作用发挥。</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lang w:val="zh-CN" w:bidi="zh-CN"/>
        </w:rPr>
        <w:t>绩效指标：</w:t>
      </w:r>
      <w:r>
        <w:rPr>
          <w:rFonts w:hint="eastAsia" w:ascii="仿宋_GB2312" w:hAnsi="仿宋_GB2312" w:eastAsia="仿宋_GB2312" w:cs="仿宋_GB2312"/>
          <w:b w:val="0"/>
          <w:bCs/>
          <w:sz w:val="32"/>
          <w:szCs w:val="32"/>
        </w:rPr>
        <w:t>进一步抓好以八项制度为重点的老干部政治待遇规范建设，建立完善特困离退休干部帮扶机制，</w:t>
      </w:r>
      <w:r>
        <w:rPr>
          <w:rStyle w:val="25"/>
          <w:rFonts w:hint="eastAsia" w:ascii="仿宋_GB2312" w:hAnsi="仿宋_GB2312" w:eastAsia="仿宋_GB2312" w:cs="仿宋_GB2312"/>
          <w:b w:val="0"/>
          <w:bCs/>
          <w:color w:val="000000"/>
          <w:sz w:val="32"/>
          <w:szCs w:val="32"/>
        </w:rPr>
        <w:t>坚持重大节日看望、慰问制度，建立家访、病访责任制</w:t>
      </w:r>
      <w:r>
        <w:rPr>
          <w:rFonts w:hint="eastAsia" w:ascii="仿宋_GB2312" w:hAnsi="仿宋_GB2312" w:eastAsia="仿宋_GB2312" w:cs="仿宋_GB2312"/>
          <w:b w:val="0"/>
          <w:bCs/>
          <w:sz w:val="32"/>
          <w:szCs w:val="32"/>
        </w:rPr>
        <w:t>。</w:t>
      </w:r>
      <w:r>
        <w:rPr>
          <w:rStyle w:val="25"/>
          <w:rFonts w:hint="eastAsia" w:ascii="仿宋_GB2312" w:hAnsi="仿宋_GB2312" w:eastAsia="仿宋_GB2312" w:cs="仿宋_GB2312"/>
          <w:b w:val="0"/>
          <w:bCs/>
          <w:color w:val="000000"/>
          <w:sz w:val="32"/>
          <w:szCs w:val="32"/>
        </w:rPr>
        <w:t>进一步完善在职领导联系老干部制度，做好双向联系的纽带和桥梁，促进</w:t>
      </w:r>
      <w:r>
        <w:rPr>
          <w:rFonts w:hint="eastAsia" w:ascii="仿宋_GB2312" w:hAnsi="仿宋_GB2312" w:eastAsia="仿宋_GB2312" w:cs="仿宋_GB2312"/>
          <w:b w:val="0"/>
          <w:bCs/>
          <w:sz w:val="32"/>
          <w:szCs w:val="32"/>
        </w:rPr>
        <w:t>老干部积极发挥作用，为全县经济社会发展谏言献策。继续发挥老年大学、关工委、老年文体中心、老干部活动中心的平台作用。</w:t>
      </w:r>
    </w:p>
    <w:p>
      <w:pPr>
        <w:keepNext w:val="0"/>
        <w:keepLines w:val="0"/>
        <w:pageBreakBefore w:val="0"/>
        <w:kinsoku/>
        <w:wordWrap/>
        <w:topLinePunct w:val="0"/>
        <w:bidi w:val="0"/>
        <w:spacing w:line="600" w:lineRule="exact"/>
        <w:ind w:left="0"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（三）工作保障措施</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1、加强领导。由部长</w:t>
      </w:r>
      <w:r>
        <w:rPr>
          <w:rFonts w:hint="eastAsia" w:ascii="仿宋_GB2312" w:hAnsi="仿宋_GB2312" w:eastAsia="仿宋_GB2312" w:cs="仿宋_GB2312"/>
          <w:sz w:val="32"/>
          <w:szCs w:val="32"/>
          <w:lang w:eastAsia="zh-CN"/>
        </w:rPr>
        <w:t>张向东</w:t>
      </w:r>
      <w:r>
        <w:rPr>
          <w:rFonts w:hint="eastAsia" w:ascii="仿宋_GB2312" w:hAnsi="仿宋_GB2312" w:eastAsia="仿宋_GB2312" w:cs="仿宋_GB2312"/>
          <w:sz w:val="32"/>
          <w:szCs w:val="32"/>
        </w:rPr>
        <w:t>带头做好领导，积极开展各项工作。</w:t>
      </w:r>
    </w:p>
    <w:p>
      <w:pPr>
        <w:keepNext w:val="0"/>
        <w:keepLines w:val="0"/>
        <w:pageBreakBefore w:val="0"/>
        <w:kinsoku/>
        <w:wordWrap/>
        <w:topLinePunct w:val="0"/>
        <w:bidi w:val="0"/>
        <w:spacing w:line="60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2、加强督导。每季度对各组室负责的工作进行督导检查，并通报结果。</w:t>
      </w:r>
    </w:p>
    <w:p>
      <w:pPr>
        <w:keepNext w:val="0"/>
        <w:keepLines w:val="0"/>
        <w:pageBreakBefore w:val="0"/>
        <w:kinsoku/>
        <w:wordWrap/>
        <w:topLinePunct w:val="0"/>
        <w:bidi w:val="0"/>
        <w:spacing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3、加强资金管理。严格按照资金使用办法督导管理资金使用，严禁挪用。</w:t>
      </w:r>
    </w:p>
    <w:p>
      <w:pPr>
        <w:keepNext w:val="0"/>
        <w:keepLines w:val="0"/>
        <w:pageBreakBefore w:val="0"/>
        <w:kinsoku/>
        <w:wordWrap/>
        <w:overflowPunct w:val="0"/>
        <w:topLinePunct w:val="0"/>
        <w:bidi w:val="0"/>
        <w:adjustRightInd w:val="0"/>
        <w:snapToGrid w:val="0"/>
        <w:spacing w:line="600" w:lineRule="exact"/>
        <w:ind w:left="0" w:firstLine="630" w:firstLineChars="196"/>
        <w:jc w:val="left"/>
        <w:rPr>
          <w:rFonts w:ascii="楷体_GB2312" w:eastAsia="楷体_GB2312"/>
          <w:b/>
          <w:sz w:val="32"/>
          <w:szCs w:val="32"/>
        </w:rPr>
      </w:pPr>
      <w:r>
        <w:rPr>
          <w:rFonts w:hint="eastAsia" w:ascii="楷体_GB2312" w:eastAsia="楷体_GB2312"/>
          <w:b/>
          <w:sz w:val="32"/>
          <w:szCs w:val="32"/>
        </w:rPr>
        <w:t>（四）</w:t>
      </w:r>
      <w:r>
        <w:rPr>
          <w:rFonts w:hint="eastAsia" w:ascii="楷体_GB2312" w:eastAsia="楷体_GB2312"/>
          <w:b/>
          <w:sz w:val="32"/>
          <w:szCs w:val="32"/>
          <w:lang w:eastAsia="zh-CN"/>
        </w:rPr>
        <w:t>单位</w:t>
      </w:r>
      <w:r>
        <w:rPr>
          <w:rFonts w:hint="eastAsia" w:ascii="楷体_GB2312" w:eastAsia="楷体_GB2312"/>
          <w:b/>
          <w:sz w:val="32"/>
          <w:szCs w:val="32"/>
        </w:rPr>
        <w:t>整体支出绩效指标</w:t>
      </w:r>
    </w:p>
    <w:tbl>
      <w:tblPr>
        <w:tblStyle w:val="9"/>
        <w:tblW w:w="10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67"/>
        <w:gridCol w:w="1134"/>
        <w:gridCol w:w="1650"/>
        <w:gridCol w:w="1783"/>
        <w:gridCol w:w="2266"/>
        <w:gridCol w:w="730"/>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67"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一级指标</w:t>
            </w:r>
          </w:p>
        </w:tc>
        <w:tc>
          <w:tcPr>
            <w:tcW w:w="1134"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二级</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指标</w:t>
            </w:r>
          </w:p>
        </w:tc>
        <w:tc>
          <w:tcPr>
            <w:tcW w:w="1650"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三级</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指标</w:t>
            </w:r>
          </w:p>
        </w:tc>
        <w:tc>
          <w:tcPr>
            <w:tcW w:w="1783"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评（扣）分标准</w:t>
            </w:r>
          </w:p>
        </w:tc>
        <w:tc>
          <w:tcPr>
            <w:tcW w:w="2266"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绩效指标</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描述</w:t>
            </w:r>
          </w:p>
        </w:tc>
        <w:tc>
          <w:tcPr>
            <w:tcW w:w="1791" w:type="dxa"/>
            <w:gridSpan w:val="3"/>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指标值</w:t>
            </w:r>
          </w:p>
        </w:tc>
        <w:tc>
          <w:tcPr>
            <w:tcW w:w="1277"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指标值</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650"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783"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2266"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730"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符号</w:t>
            </w:r>
          </w:p>
        </w:tc>
        <w:tc>
          <w:tcPr>
            <w:tcW w:w="488"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值</w:t>
            </w:r>
          </w:p>
        </w:tc>
        <w:tc>
          <w:tcPr>
            <w:tcW w:w="573"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b/>
                <w:szCs w:val="21"/>
              </w:rPr>
            </w:pPr>
            <w:r>
              <w:rPr>
                <w:rFonts w:hint="eastAsia" w:ascii="仿宋_GB2312" w:eastAsia="仿宋_GB2312"/>
                <w:b/>
                <w:szCs w:val="21"/>
              </w:rPr>
              <w:t>单位</w:t>
            </w:r>
          </w:p>
        </w:tc>
        <w:tc>
          <w:tcPr>
            <w:tcW w:w="127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67" w:type="dxa"/>
            <w:vMerge w:val="restart"/>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部门产出</w:t>
            </w: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数量</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成本空置率</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成本控制在预算额度内</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严格控制</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质量</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开展各类活动数量</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反映开展党建工作活动情况</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r>
              <w:rPr>
                <w:rFonts w:hint="eastAsia" w:ascii="仿宋_GB2312" w:eastAsia="仿宋_GB2312"/>
                <w:szCs w:val="21"/>
              </w:rPr>
              <w:t>20.00</w:t>
            </w: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次</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时效</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提升基层党建工作水平</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提升基层党建工作水平</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r>
              <w:rPr>
                <w:rFonts w:hint="eastAsia" w:ascii="仿宋_GB2312" w:eastAsia="仿宋_GB2312"/>
                <w:szCs w:val="21"/>
              </w:rPr>
              <w:t>0.00</w:t>
            </w: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及时</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成本</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完成率</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按照要求和计划完成各项工作的比例</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控制预算内</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restart"/>
            <w:noWrap w:val="0"/>
            <w:vAlign w:val="center"/>
          </w:tcPr>
          <w:p>
            <w:pPr>
              <w:keepNext w:val="0"/>
              <w:keepLines w:val="0"/>
              <w:pageBreakBefore w:val="0"/>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部门效果</w:t>
            </w: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社会</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效益</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全面加强基层党建</w:t>
            </w: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通过全面加强基层党建，促进社会发展水平逐步提升</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明显</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经济</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效益</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73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488"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57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1277"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生态</w:t>
            </w:r>
          </w:p>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效益</w:t>
            </w:r>
          </w:p>
        </w:tc>
        <w:tc>
          <w:tcPr>
            <w:tcW w:w="165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178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2266"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730"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488"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573"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c>
          <w:tcPr>
            <w:tcW w:w="1277" w:type="dxa"/>
            <w:noWrap w:val="0"/>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可持续影响</w:t>
            </w:r>
          </w:p>
        </w:tc>
        <w:tc>
          <w:tcPr>
            <w:tcW w:w="1650"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培养高素质专业化干部</w:t>
            </w:r>
          </w:p>
        </w:tc>
        <w:tc>
          <w:tcPr>
            <w:tcW w:w="1783"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强化各级干部责任担当精神，狠抓工作落实</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可持续</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67" w:type="dxa"/>
            <w:vMerge w:val="continue"/>
            <w:noWrap w:val="0"/>
            <w:vAlign w:val="center"/>
          </w:tcPr>
          <w:p>
            <w:pPr>
              <w:keepNext w:val="0"/>
              <w:keepLines w:val="0"/>
              <w:pageBreakBefore w:val="0"/>
              <w:kinsoku/>
              <w:wordWrap/>
              <w:topLinePunct w:val="0"/>
              <w:bidi w:val="0"/>
              <w:spacing w:line="600" w:lineRule="exact"/>
              <w:ind w:left="0"/>
              <w:rPr>
                <w:rFonts w:hint="eastAsia" w:ascii="仿宋_GB2312" w:eastAsia="仿宋_GB2312"/>
                <w:szCs w:val="21"/>
              </w:rPr>
            </w:pPr>
          </w:p>
        </w:tc>
        <w:tc>
          <w:tcPr>
            <w:tcW w:w="1134" w:type="dxa"/>
            <w:noWrap w:val="0"/>
            <w:vAlign w:val="center"/>
          </w:tcPr>
          <w:p>
            <w:pPr>
              <w:keepNext w:val="0"/>
              <w:keepLines w:val="0"/>
              <w:pageBreakBefore w:val="0"/>
              <w:widowControl/>
              <w:kinsoku/>
              <w:wordWrap/>
              <w:topLinePunct w:val="0"/>
              <w:bidi w:val="0"/>
              <w:adjustRightInd w:val="0"/>
              <w:snapToGrid w:val="0"/>
              <w:spacing w:line="600" w:lineRule="exact"/>
              <w:ind w:left="0"/>
              <w:jc w:val="center"/>
              <w:rPr>
                <w:rFonts w:hint="eastAsia" w:ascii="仿宋_GB2312" w:eastAsia="仿宋_GB2312"/>
                <w:szCs w:val="21"/>
              </w:rPr>
            </w:pPr>
            <w:r>
              <w:rPr>
                <w:rFonts w:hint="eastAsia" w:ascii="仿宋_GB2312" w:eastAsia="仿宋_GB2312"/>
                <w:szCs w:val="21"/>
              </w:rPr>
              <w:t>满意度</w:t>
            </w:r>
          </w:p>
        </w:tc>
        <w:tc>
          <w:tcPr>
            <w:tcW w:w="1650"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群众满意度</w:t>
            </w:r>
          </w:p>
        </w:tc>
        <w:tc>
          <w:tcPr>
            <w:tcW w:w="1783"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按照规定统一执行</w:t>
            </w:r>
          </w:p>
        </w:tc>
        <w:tc>
          <w:tcPr>
            <w:tcW w:w="2266" w:type="dxa"/>
            <w:noWrap/>
            <w:vAlign w:val="center"/>
          </w:tcPr>
          <w:p>
            <w:pPr>
              <w:keepNext w:val="0"/>
              <w:keepLines w:val="0"/>
              <w:pageBreakBefore w:val="0"/>
              <w:widowControl/>
              <w:kinsoku/>
              <w:wordWrap/>
              <w:topLinePunct w:val="0"/>
              <w:bidi w:val="0"/>
              <w:adjustRightInd w:val="0"/>
              <w:snapToGrid w:val="0"/>
              <w:spacing w:line="600" w:lineRule="exact"/>
              <w:ind w:left="0"/>
              <w:rPr>
                <w:rFonts w:hint="eastAsia" w:ascii="仿宋_GB2312" w:eastAsia="仿宋_GB2312"/>
                <w:szCs w:val="21"/>
              </w:rPr>
            </w:pPr>
            <w:r>
              <w:rPr>
                <w:rFonts w:hint="eastAsia" w:ascii="仿宋_GB2312" w:eastAsia="仿宋_GB2312"/>
                <w:szCs w:val="21"/>
              </w:rPr>
              <w:t>反映人民群众对基层党建工作满意情况</w:t>
            </w:r>
          </w:p>
        </w:tc>
        <w:tc>
          <w:tcPr>
            <w:tcW w:w="730"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文字描述</w:t>
            </w:r>
          </w:p>
        </w:tc>
        <w:tc>
          <w:tcPr>
            <w:tcW w:w="488" w:type="dxa"/>
            <w:noWrap w:val="0"/>
            <w:vAlign w:val="center"/>
          </w:tcPr>
          <w:p>
            <w:pPr>
              <w:keepNext w:val="0"/>
              <w:keepLines w:val="0"/>
              <w:pageBreakBefore w:val="0"/>
              <w:kinsoku/>
              <w:wordWrap/>
              <w:topLinePunct w:val="0"/>
              <w:bidi w:val="0"/>
              <w:spacing w:line="600" w:lineRule="exact"/>
              <w:ind w:left="0"/>
              <w:jc w:val="right"/>
              <w:rPr>
                <w:rFonts w:hint="eastAsia" w:ascii="仿宋_GB2312" w:hAnsi="宋体" w:eastAsia="仿宋_GB2312" w:cs="宋体"/>
                <w:szCs w:val="21"/>
              </w:rPr>
            </w:pPr>
          </w:p>
        </w:tc>
        <w:tc>
          <w:tcPr>
            <w:tcW w:w="573"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满意</w:t>
            </w:r>
          </w:p>
        </w:tc>
        <w:tc>
          <w:tcPr>
            <w:tcW w:w="1277" w:type="dxa"/>
            <w:noWrap w:val="0"/>
            <w:vAlign w:val="center"/>
          </w:tcPr>
          <w:p>
            <w:pPr>
              <w:keepNext w:val="0"/>
              <w:keepLines w:val="0"/>
              <w:pageBreakBefore w:val="0"/>
              <w:kinsoku/>
              <w:wordWrap/>
              <w:topLinePunct w:val="0"/>
              <w:bidi w:val="0"/>
              <w:spacing w:line="600" w:lineRule="exact"/>
              <w:ind w:left="0"/>
              <w:rPr>
                <w:rFonts w:hint="eastAsia" w:ascii="仿宋_GB2312" w:hAnsi="宋体" w:eastAsia="仿宋_GB2312" w:cs="宋体"/>
                <w:szCs w:val="21"/>
              </w:rPr>
            </w:pPr>
            <w:r>
              <w:rPr>
                <w:rFonts w:hint="eastAsia" w:ascii="仿宋_GB2312" w:eastAsia="仿宋_GB2312"/>
                <w:szCs w:val="21"/>
              </w:rPr>
              <w:t>按照规定统一执行</w:t>
            </w:r>
          </w:p>
        </w:tc>
      </w:tr>
    </w:tbl>
    <w:p>
      <w:pPr>
        <w:keepNext w:val="0"/>
        <w:keepLines w:val="0"/>
        <w:pageBreakBefore w:val="0"/>
        <w:kinsoku/>
        <w:wordWrap/>
        <w:topLinePunct w:val="0"/>
        <w:bidi w:val="0"/>
        <w:spacing w:line="600" w:lineRule="exact"/>
        <w:ind w:left="0"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keepNext w:val="0"/>
        <w:keepLines w:val="0"/>
        <w:pageBreakBefore w:val="0"/>
        <w:kinsoku/>
        <w:wordWrap/>
        <w:topLinePunct w:val="0"/>
        <w:bidi w:val="0"/>
        <w:spacing w:line="600" w:lineRule="exact"/>
        <w:ind w:left="0" w:firstLine="640" w:firstLineChars="200"/>
        <w:jc w:val="left"/>
        <w:outlineLvl w:val="1"/>
        <w:rPr>
          <w:rFonts w:ascii="Times New Roman" w:hAnsi="Times New Roman" w:eastAsia="仿宋_GB2312" w:cs="Times New Roman"/>
          <w:sz w:val="32"/>
          <w:szCs w:val="24"/>
        </w:rPr>
      </w:pPr>
      <w:r>
        <w:rPr>
          <w:rFonts w:ascii="Times New Roman" w:hAnsi="Times New Roman" w:eastAsia="仿宋_GB2312" w:cs="Times New Roman"/>
          <w:sz w:val="32"/>
          <w:szCs w:val="24"/>
        </w:rPr>
        <w:t>1</w:t>
      </w:r>
      <w:r>
        <w:rPr>
          <w:rFonts w:hint="eastAsia" w:ascii="Times New Roman" w:hAnsi="Times New Roman" w:eastAsia="仿宋_GB2312" w:cs="Times New Roman"/>
          <w:sz w:val="32"/>
          <w:szCs w:val="24"/>
          <w:lang w:eastAsia="zh-CN"/>
        </w:rPr>
        <w:t>、</w:t>
      </w:r>
      <w:r>
        <w:rPr>
          <w:rFonts w:hint="eastAsia" w:ascii="仿宋_GB2312" w:hAnsi="仿宋_GB2312" w:eastAsia="仿宋_GB2312" w:cs="仿宋_GB2312"/>
          <w:sz w:val="32"/>
          <w:szCs w:val="32"/>
        </w:rPr>
        <w:t>建档立卡贫困户扶贫帮扶经费项目绩效目标表</w:t>
      </w:r>
    </w:p>
    <w:tbl>
      <w:tblPr>
        <w:tblStyle w:val="9"/>
        <w:tblpPr w:leftFromText="180" w:rightFromText="180" w:vertAnchor="text" w:horzAnchor="page" w:tblpX="1499" w:tblpY="621"/>
        <w:tblOverlap w:val="never"/>
        <w:tblW w:w="14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89"/>
        <w:gridCol w:w="1363"/>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04" w:type="dxa"/>
            <w:gridSpan w:val="6"/>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脱贫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04" w:type="dxa"/>
            <w:gridSpan w:val="6"/>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不返贫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8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6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36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数量指标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帮扶活动次数</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帮扶活动次数</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w:t>
            </w: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val="en-US" w:eastAsia="zh-CN"/>
              </w:rPr>
              <w:t>2</w:t>
            </w:r>
          </w:p>
        </w:tc>
        <w:tc>
          <w:tcPr>
            <w:tcW w:w="219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次</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质量指标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帮助贫困户脱贫</w:t>
            </w:r>
          </w:p>
        </w:tc>
        <w:tc>
          <w:tcPr>
            <w:tcW w:w="362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帮助贫困户脱贫</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firstLine="420" w:firstLineChars="200"/>
              <w:rPr>
                <w:rFonts w:hint="eastAsia" w:ascii="宋体" w:hAnsi="宋体" w:eastAsia="宋体" w:cs="宋体"/>
                <w:i w:val="0"/>
                <w:iCs w:val="0"/>
                <w:color w:val="000000"/>
                <w:sz w:val="18"/>
                <w:szCs w:val="18"/>
                <w:u w:val="none"/>
              </w:rPr>
            </w:pPr>
            <w:r>
              <w:rPr>
                <w:rFonts w:hint="eastAsia" w:ascii="仿宋_GB2312" w:eastAsia="仿宋_GB2312"/>
                <w:szCs w:val="21"/>
              </w:rPr>
              <w:t>服务质量提升</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时效指标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按工作要求</w:t>
            </w:r>
          </w:p>
        </w:tc>
        <w:tc>
          <w:tcPr>
            <w:tcW w:w="362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按时开展活动</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firstLine="630" w:firstLineChars="300"/>
              <w:rPr>
                <w:rFonts w:hint="eastAsia" w:ascii="宋体" w:hAnsi="宋体" w:eastAsia="宋体" w:cs="宋体"/>
                <w:i w:val="0"/>
                <w:iCs w:val="0"/>
                <w:color w:val="000000"/>
                <w:sz w:val="18"/>
                <w:szCs w:val="18"/>
                <w:u w:val="none"/>
              </w:rPr>
            </w:pPr>
            <w:r>
              <w:rPr>
                <w:rFonts w:hint="eastAsia" w:ascii="仿宋_GB2312" w:eastAsia="仿宋_GB2312"/>
                <w:szCs w:val="21"/>
              </w:rPr>
              <w:t>及时</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成本指标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成本控制</w:t>
            </w:r>
          </w:p>
        </w:tc>
        <w:tc>
          <w:tcPr>
            <w:tcW w:w="362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控制在预算内</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w:t>
            </w: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default" w:ascii="宋体" w:hAnsi="宋体" w:eastAsia="宋体" w:cs="宋体"/>
                <w:i w:val="0"/>
                <w:iCs w:val="0"/>
                <w:color w:val="000000"/>
                <w:sz w:val="18"/>
                <w:szCs w:val="18"/>
                <w:u w:val="none"/>
                <w:lang w:val="en-US"/>
              </w:rPr>
            </w:pPr>
            <w:r>
              <w:rPr>
                <w:rFonts w:hint="eastAsia" w:ascii="仿宋_GB2312" w:eastAsia="仿宋_GB2312"/>
                <w:sz w:val="21"/>
                <w:szCs w:val="21"/>
                <w:lang w:val="en-US" w:eastAsia="zh-CN"/>
              </w:rPr>
              <w:t>1.2</w:t>
            </w: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firstLine="630" w:firstLineChars="300"/>
              <w:rPr>
                <w:rFonts w:hint="eastAsia" w:ascii="宋体" w:hAnsi="宋体" w:eastAsia="宋体" w:cs="宋体"/>
                <w:i w:val="0"/>
                <w:iCs w:val="0"/>
                <w:color w:val="000000"/>
                <w:sz w:val="18"/>
                <w:szCs w:val="18"/>
                <w:u w:val="none"/>
                <w:lang w:eastAsia="zh-CN"/>
              </w:rPr>
            </w:pPr>
            <w:r>
              <w:rPr>
                <w:rFonts w:hint="eastAsia" w:ascii="仿宋_GB2312" w:eastAsia="仿宋_GB2312"/>
                <w:szCs w:val="21"/>
                <w:lang w:eastAsia="zh-CN"/>
              </w:rPr>
              <w:t>万元</w:t>
            </w:r>
          </w:p>
        </w:tc>
        <w:tc>
          <w:tcPr>
            <w:tcW w:w="1717"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社会效益指标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扶贫效果</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增强扶贫满意度</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显著提升党员互助服务</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可持续影响指标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长效机制</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持续发展</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全面提升基层党建工作水平</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89"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服务对象满意度指标</w:t>
            </w:r>
          </w:p>
        </w:tc>
        <w:tc>
          <w:tcPr>
            <w:tcW w:w="136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服务对象满意度</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仿宋_GB2312" w:hAnsi="Calibri" w:eastAsia="仿宋_GB2312"/>
                <w:kern w:val="2"/>
                <w:sz w:val="21"/>
                <w:szCs w:val="21"/>
                <w:lang w:val="en-US" w:eastAsia="zh-CN" w:bidi="ar-SA"/>
              </w:rPr>
            </w:pPr>
            <w:r>
              <w:rPr>
                <w:rFonts w:hint="eastAsia" w:ascii="仿宋_GB2312" w:eastAsia="仿宋_GB2312"/>
                <w:szCs w:val="21"/>
              </w:rPr>
              <w:t>贫困户满意度</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满意度指标</w:t>
            </w: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服务对象满意度</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bl>
    <w:p>
      <w:pPr>
        <w:keepNext w:val="0"/>
        <w:keepLines w:val="0"/>
        <w:pageBreakBefore w:val="0"/>
        <w:numPr>
          <w:ilvl w:val="0"/>
          <w:numId w:val="0"/>
        </w:numPr>
        <w:kinsoku/>
        <w:wordWrap/>
        <w:topLinePunct w:val="0"/>
        <w:bidi w:val="0"/>
        <w:spacing w:line="600" w:lineRule="exact"/>
        <w:ind w:left="0" w:leftChars="0"/>
        <w:rPr>
          <w:rFonts w:hint="eastAsia" w:ascii="仿宋_GB2312" w:hAnsi="仿宋_GB2312" w:eastAsia="仿宋_GB2312" w:cs="仿宋_GB2312"/>
          <w:sz w:val="28"/>
          <w:szCs w:val="28"/>
        </w:rPr>
      </w:pPr>
    </w:p>
    <w:p>
      <w:pPr>
        <w:keepNext w:val="0"/>
        <w:keepLines w:val="0"/>
        <w:pageBreakBefore w:val="0"/>
        <w:kinsoku/>
        <w:wordWrap/>
        <w:topLinePunct w:val="0"/>
        <w:bidi w:val="0"/>
        <w:spacing w:line="600" w:lineRule="exact"/>
        <w:ind w:left="0" w:firstLine="640" w:firstLineChars="200"/>
        <w:jc w:val="left"/>
        <w:outlineLvl w:val="1"/>
        <w:rPr>
          <w:rFonts w:ascii="Times New Roman" w:hAnsi="Times New Roman" w:eastAsia="仿宋_GB2312" w:cs="Times New Roman"/>
          <w:sz w:val="32"/>
          <w:szCs w:val="24"/>
        </w:rPr>
      </w:pPr>
      <w:r>
        <w:rPr>
          <w:rFonts w:ascii="Times New Roman" w:hAnsi="Times New Roman" w:eastAsia="仿宋_GB2312" w:cs="Times New Roman"/>
          <w:sz w:val="32"/>
          <w:szCs w:val="24"/>
        </w:rPr>
        <w:t>2.</w:t>
      </w:r>
      <w:r>
        <w:rPr>
          <w:rFonts w:hint="eastAsia" w:ascii="Times New Roman" w:hAnsi="Times New Roman" w:eastAsia="仿宋_GB2312" w:cs="Times New Roman"/>
          <w:sz w:val="32"/>
          <w:szCs w:val="24"/>
          <w:lang w:eastAsia="zh-CN"/>
        </w:rPr>
        <w:t>党建经费</w:t>
      </w:r>
      <w:r>
        <w:rPr>
          <w:rFonts w:ascii="Times New Roman" w:hAnsi="Times New Roman" w:eastAsia="仿宋_GB2312" w:cs="Times New Roman"/>
          <w:sz w:val="32"/>
          <w:szCs w:val="24"/>
        </w:rPr>
        <w:t>绩效目标表</w:t>
      </w:r>
    </w:p>
    <w:tbl>
      <w:tblPr>
        <w:tblStyle w:val="9"/>
        <w:tblpPr w:leftFromText="180" w:rightFromText="180" w:vertAnchor="text" w:horzAnchor="page" w:tblpX="1499" w:tblpY="621"/>
        <w:tblOverlap w:val="never"/>
        <w:tblW w:w="14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在全县打造5-40个党建示范点。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整体提升全县基层党建水平。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数量指标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打造党建示范点数量</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每年重点打造5-40个党建示范点</w:t>
            </w:r>
          </w:p>
        </w:tc>
        <w:tc>
          <w:tcPr>
            <w:tcW w:w="154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w:t>
            </w: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val="en-US" w:eastAsia="zh-CN"/>
              </w:rPr>
              <w:t>5</w:t>
            </w: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lang w:eastAsia="zh-CN"/>
              </w:rPr>
            </w:pPr>
            <w:r>
              <w:rPr>
                <w:rFonts w:hint="eastAsia" w:ascii="仿宋_GB2312" w:eastAsia="仿宋_GB2312"/>
                <w:szCs w:val="21"/>
                <w:lang w:eastAsia="zh-CN"/>
              </w:rPr>
              <w:t>个</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质量指标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全县基层党建水平</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整体提升全县基层党建水平</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lang w:eastAsia="zh-CN"/>
              </w:rPr>
              <w:t>提升</w:t>
            </w:r>
            <w:r>
              <w:rPr>
                <w:rFonts w:hint="eastAsia" w:ascii="仿宋_GB2312" w:eastAsia="仿宋_GB2312"/>
                <w:szCs w:val="21"/>
              </w:rPr>
              <w:t>全县基层党建水平</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时效指标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按时完成</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及时落实上级政策</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按时完成</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成本指标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成本控制</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控制在预算内</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w:t>
            </w: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default" w:ascii="宋体" w:hAnsi="宋体" w:eastAsia="宋体" w:cs="宋体"/>
                <w:i w:val="0"/>
                <w:iCs w:val="0"/>
                <w:color w:val="000000"/>
                <w:sz w:val="18"/>
                <w:szCs w:val="18"/>
                <w:u w:val="none"/>
                <w:lang w:val="en-US"/>
              </w:rPr>
            </w:pPr>
            <w:r>
              <w:rPr>
                <w:rFonts w:hint="eastAsia" w:ascii="仿宋_GB2312" w:eastAsia="仿宋_GB2312"/>
                <w:sz w:val="21"/>
                <w:szCs w:val="21"/>
                <w:lang w:val="en-US" w:eastAsia="zh-CN"/>
              </w:rPr>
              <w:t>7.5</w:t>
            </w: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万元</w:t>
            </w:r>
          </w:p>
        </w:tc>
        <w:tc>
          <w:tcPr>
            <w:tcW w:w="1717"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基层党建水平</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整体提升全县基层党建水平</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lang w:eastAsia="zh-CN"/>
              </w:rPr>
              <w:t>提升</w:t>
            </w:r>
            <w:r>
              <w:rPr>
                <w:rFonts w:hint="eastAsia" w:ascii="仿宋_GB2312" w:eastAsia="仿宋_GB2312"/>
                <w:szCs w:val="21"/>
              </w:rPr>
              <w:t>基层党建水平</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社会稳定</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促进社会稳定</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社会稳定</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line="600" w:lineRule="exact"/>
              <w:ind w:lef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r>
              <w:rPr>
                <w:rFonts w:hint="eastAsia" w:ascii="仿宋_GB2312" w:eastAsia="仿宋_GB2312"/>
                <w:sz w:val="21"/>
                <w:szCs w:val="21"/>
                <w:lang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服务对象满意度</w:t>
            </w:r>
          </w:p>
        </w:tc>
        <w:tc>
          <w:tcPr>
            <w:tcW w:w="36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lang w:eastAsia="zh-CN"/>
              </w:rPr>
            </w:pPr>
            <w:r>
              <w:rPr>
                <w:rFonts w:hint="eastAsia" w:ascii="仿宋_GB2312" w:eastAsia="仿宋_GB2312"/>
                <w:szCs w:val="21"/>
                <w:lang w:eastAsia="zh-CN"/>
              </w:rPr>
              <w:t>群众满意</w:t>
            </w:r>
          </w:p>
        </w:tc>
        <w:tc>
          <w:tcPr>
            <w:tcW w:w="1546"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noWrap/>
            <w:vAlign w:val="top"/>
          </w:tcPr>
          <w:p>
            <w:pPr>
              <w:pStyle w:val="2"/>
              <w:keepNext w:val="0"/>
              <w:keepLines w:val="0"/>
              <w:pageBreakBefore w:val="0"/>
              <w:kinsoku/>
              <w:wordWrap/>
              <w:topLinePunct w:val="0"/>
              <w:bidi w:val="0"/>
              <w:spacing w:line="600" w:lineRule="exact"/>
              <w:ind w:left="0"/>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topLinePunct w:val="0"/>
              <w:bidi w:val="0"/>
              <w:spacing w:line="600" w:lineRule="exact"/>
              <w:ind w:left="0"/>
              <w:rPr>
                <w:rFonts w:hint="eastAsia" w:ascii="宋体" w:hAnsi="宋体" w:eastAsia="宋体" w:cs="宋体"/>
                <w:i w:val="0"/>
                <w:iCs w:val="0"/>
                <w:color w:val="000000"/>
                <w:sz w:val="18"/>
                <w:szCs w:val="18"/>
                <w:u w:val="none"/>
              </w:rPr>
            </w:pPr>
            <w:r>
              <w:rPr>
                <w:rFonts w:hint="eastAsia" w:ascii="仿宋_GB2312" w:eastAsia="仿宋_GB2312"/>
                <w:szCs w:val="21"/>
              </w:rPr>
              <w:t>服务对象满意度</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600" w:lineRule="exact"/>
              <w:ind w:left="0"/>
              <w:jc w:val="left"/>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lang w:eastAsia="zh-CN"/>
              </w:rPr>
              <w:t>年初预算安排</w:t>
            </w:r>
          </w:p>
        </w:tc>
      </w:tr>
    </w:tbl>
    <w:p>
      <w:pPr>
        <w:keepNext w:val="0"/>
        <w:keepLines w:val="0"/>
        <w:pageBreakBefore w:val="0"/>
        <w:kinsoku/>
        <w:wordWrap/>
        <w:topLinePunct w:val="0"/>
        <w:bidi w:val="0"/>
        <w:spacing w:line="600" w:lineRule="exact"/>
        <w:ind w:left="0" w:firstLine="420" w:firstLineChars="200"/>
        <w:jc w:val="center"/>
        <w:rPr>
          <w:rFonts w:ascii="Times New Roman" w:hAnsi="Times New Roman" w:eastAsia="仿宋_GB2312" w:cs="Times New Roman"/>
        </w:rPr>
      </w:pPr>
    </w:p>
    <w:p>
      <w:pPr>
        <w:keepNext w:val="0"/>
        <w:keepLines w:val="0"/>
        <w:pageBreakBefore w:val="0"/>
        <w:kinsoku/>
        <w:wordWrap/>
        <w:topLinePunct w:val="0"/>
        <w:bidi w:val="0"/>
        <w:spacing w:line="600" w:lineRule="exact"/>
        <w:ind w:left="0" w:firstLine="420" w:firstLineChars="200"/>
        <w:jc w:val="center"/>
        <w:rPr>
          <w:rFonts w:ascii="Times New Roman" w:hAnsi="Times New Roman" w:eastAsia="仿宋_GB2312" w:cs="Times New Roman"/>
        </w:rPr>
      </w:pPr>
    </w:p>
    <w:p>
      <w:pPr>
        <w:keepNext w:val="0"/>
        <w:keepLines w:val="0"/>
        <w:pageBreakBefore w:val="0"/>
        <w:kinsoku/>
        <w:wordWrap/>
        <w:topLinePunct w:val="0"/>
        <w:bidi w:val="0"/>
        <w:spacing w:line="600" w:lineRule="exact"/>
        <w:ind w:left="0" w:firstLine="420" w:firstLineChars="200"/>
        <w:jc w:val="center"/>
        <w:rPr>
          <w:rFonts w:ascii="Times New Roman" w:hAnsi="Times New Roman" w:eastAsia="仿宋_GB2312" w:cs="Times New Roman"/>
        </w:rPr>
      </w:pP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keepNext w:val="0"/>
        <w:keepLines w:val="0"/>
        <w:pageBreakBefore w:val="0"/>
        <w:kinsoku/>
        <w:wordWrap/>
        <w:topLinePunct w:val="0"/>
        <w:bidi w:val="0"/>
        <w:spacing w:line="600" w:lineRule="exact"/>
        <w:ind w:left="0"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keepNext w:val="0"/>
        <w:keepLines w:val="0"/>
        <w:pageBreakBefore w:val="0"/>
        <w:kinsoku/>
        <w:wordWrap/>
        <w:topLinePunct w:val="0"/>
        <w:bidi w:val="0"/>
        <w:spacing w:line="600" w:lineRule="exact"/>
        <w:ind w:left="0"/>
        <w:jc w:val="left"/>
        <w:outlineLvl w:val="0"/>
        <w:rPr>
          <w:rFonts w:ascii="Times New Roman" w:hAnsi="Times New Roman" w:eastAsia="仿宋_GB2312" w:cs="Times New Roman"/>
        </w:rPr>
      </w:pPr>
    </w:p>
    <w:p>
      <w:pPr>
        <w:keepNext w:val="0"/>
        <w:keepLines w:val="0"/>
        <w:pageBreakBefore w:val="0"/>
        <w:kinsoku/>
        <w:wordWrap/>
        <w:topLinePunct w:val="0"/>
        <w:bidi w:val="0"/>
        <w:spacing w:line="600" w:lineRule="exact"/>
        <w:ind w:left="0"/>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keepNext w:val="0"/>
        <w:keepLines w:val="0"/>
        <w:pageBreakBefore w:val="0"/>
        <w:kinsoku/>
        <w:wordWrap/>
        <w:topLinePunct w:val="0"/>
        <w:bidi w:val="0"/>
        <w:spacing w:line="600" w:lineRule="exact"/>
        <w:ind w:left="0"/>
        <w:outlineLvl w:val="1"/>
        <w:rPr>
          <w:rFonts w:ascii="方正小标宋_GBK" w:eastAsia="方正小标宋_GBK" w:cs="Times New Roman"/>
          <w:sz w:val="32"/>
        </w:rPr>
      </w:pPr>
      <w:r>
        <w:rPr>
          <w:rFonts w:hint="eastAsia"/>
          <w:lang w:eastAsia="zh-CN"/>
        </w:rPr>
        <w:t>中共大城县委组织部本级</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keepNext w:val="0"/>
              <w:keepLines w:val="0"/>
              <w:pageBreakBefore w:val="0"/>
              <w:kinsoku/>
              <w:wordWrap/>
              <w:topLinePunct w:val="0"/>
              <w:bidi w:val="0"/>
              <w:spacing w:line="600" w:lineRule="exact"/>
              <w:ind w:left="0"/>
            </w:pPr>
            <w:r>
              <w:t>政府采购项目来源</w:t>
            </w:r>
          </w:p>
        </w:tc>
        <w:tc>
          <w:tcPr>
            <w:tcW w:w="1134" w:type="dxa"/>
            <w:vMerge w:val="restart"/>
            <w:vAlign w:val="center"/>
          </w:tcPr>
          <w:p>
            <w:pPr>
              <w:pStyle w:val="17"/>
              <w:keepNext w:val="0"/>
              <w:keepLines w:val="0"/>
              <w:pageBreakBefore w:val="0"/>
              <w:kinsoku/>
              <w:wordWrap/>
              <w:topLinePunct w:val="0"/>
              <w:bidi w:val="0"/>
              <w:spacing w:line="600" w:lineRule="exact"/>
              <w:ind w:left="0"/>
            </w:pPr>
            <w:r>
              <w:t>采购物品名称</w:t>
            </w:r>
          </w:p>
        </w:tc>
        <w:tc>
          <w:tcPr>
            <w:tcW w:w="1134" w:type="dxa"/>
            <w:vMerge w:val="restart"/>
            <w:vAlign w:val="center"/>
          </w:tcPr>
          <w:p>
            <w:pPr>
              <w:pStyle w:val="17"/>
              <w:keepNext w:val="0"/>
              <w:keepLines w:val="0"/>
              <w:pageBreakBefore w:val="0"/>
              <w:kinsoku/>
              <w:wordWrap/>
              <w:topLinePunct w:val="0"/>
              <w:bidi w:val="0"/>
              <w:spacing w:line="600" w:lineRule="exact"/>
              <w:ind w:left="0"/>
            </w:pPr>
            <w:r>
              <w:t>政府采购目录序号</w:t>
            </w:r>
          </w:p>
        </w:tc>
        <w:tc>
          <w:tcPr>
            <w:tcW w:w="709" w:type="dxa"/>
            <w:vMerge w:val="restart"/>
            <w:vAlign w:val="center"/>
          </w:tcPr>
          <w:p>
            <w:pPr>
              <w:pStyle w:val="17"/>
              <w:keepNext w:val="0"/>
              <w:keepLines w:val="0"/>
              <w:pageBreakBefore w:val="0"/>
              <w:kinsoku/>
              <w:wordWrap/>
              <w:topLinePunct w:val="0"/>
              <w:bidi w:val="0"/>
              <w:spacing w:line="600" w:lineRule="exact"/>
              <w:ind w:left="0"/>
            </w:pPr>
            <w:r>
              <w:t>计量  单位</w:t>
            </w:r>
          </w:p>
        </w:tc>
        <w:tc>
          <w:tcPr>
            <w:tcW w:w="850" w:type="dxa"/>
            <w:vMerge w:val="restart"/>
            <w:vAlign w:val="center"/>
          </w:tcPr>
          <w:p>
            <w:pPr>
              <w:pStyle w:val="17"/>
              <w:keepNext w:val="0"/>
              <w:keepLines w:val="0"/>
              <w:pageBreakBefore w:val="0"/>
              <w:kinsoku/>
              <w:wordWrap/>
              <w:topLinePunct w:val="0"/>
              <w:bidi w:val="0"/>
              <w:spacing w:line="600" w:lineRule="exact"/>
              <w:ind w:left="0"/>
            </w:pPr>
            <w:r>
              <w:t>数量</w:t>
            </w:r>
          </w:p>
        </w:tc>
        <w:tc>
          <w:tcPr>
            <w:tcW w:w="850" w:type="dxa"/>
            <w:vMerge w:val="restart"/>
            <w:vAlign w:val="center"/>
          </w:tcPr>
          <w:p>
            <w:pPr>
              <w:pStyle w:val="17"/>
              <w:keepNext w:val="0"/>
              <w:keepLines w:val="0"/>
              <w:pageBreakBefore w:val="0"/>
              <w:kinsoku/>
              <w:wordWrap/>
              <w:topLinePunct w:val="0"/>
              <w:bidi w:val="0"/>
              <w:spacing w:line="600" w:lineRule="exact"/>
              <w:ind w:left="0"/>
            </w:pPr>
            <w:r>
              <w:t>单价</w:t>
            </w:r>
          </w:p>
        </w:tc>
        <w:tc>
          <w:tcPr>
            <w:tcW w:w="7712" w:type="dxa"/>
            <w:gridSpan w:val="8"/>
            <w:vAlign w:val="center"/>
          </w:tcPr>
          <w:p>
            <w:pPr>
              <w:pStyle w:val="17"/>
              <w:keepNext w:val="0"/>
              <w:keepLines w:val="0"/>
              <w:pageBreakBefore w:val="0"/>
              <w:kinsoku/>
              <w:wordWrap/>
              <w:topLinePunct w:val="0"/>
              <w:bidi w:val="0"/>
              <w:spacing w:line="600" w:lineRule="exact"/>
              <w:ind w:left="0"/>
            </w:pPr>
            <w:r>
              <w:t>政府采购金额（当年部门预算安排资金）</w:t>
            </w:r>
          </w:p>
        </w:tc>
        <w:tc>
          <w:tcPr>
            <w:tcW w:w="964" w:type="dxa"/>
            <w:vMerge w:val="restart"/>
            <w:vAlign w:val="center"/>
          </w:tcPr>
          <w:p>
            <w:pPr>
              <w:pStyle w:val="17"/>
              <w:keepNext w:val="0"/>
              <w:keepLines w:val="0"/>
              <w:pageBreakBefore w:val="0"/>
              <w:kinsoku/>
              <w:wordWrap/>
              <w:topLinePunct w:val="0"/>
              <w:bidi w:val="0"/>
              <w:spacing w:line="600" w:lineRule="exact"/>
              <w:ind w:left="0"/>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keepNext w:val="0"/>
              <w:keepLines w:val="0"/>
              <w:pageBreakBefore w:val="0"/>
              <w:kinsoku/>
              <w:wordWrap/>
              <w:topLinePunct w:val="0"/>
              <w:bidi w:val="0"/>
              <w:spacing w:line="600" w:lineRule="exact"/>
              <w:ind w:left="0"/>
            </w:pPr>
            <w:r>
              <w:t>项目名称</w:t>
            </w:r>
          </w:p>
        </w:tc>
        <w:tc>
          <w:tcPr>
            <w:tcW w:w="964" w:type="dxa"/>
            <w:vAlign w:val="center"/>
          </w:tcPr>
          <w:p>
            <w:pPr>
              <w:pStyle w:val="17"/>
              <w:keepNext w:val="0"/>
              <w:keepLines w:val="0"/>
              <w:pageBreakBefore w:val="0"/>
              <w:kinsoku/>
              <w:wordWrap/>
              <w:topLinePunct w:val="0"/>
              <w:bidi w:val="0"/>
              <w:spacing w:line="600" w:lineRule="exact"/>
              <w:ind w:left="0"/>
            </w:pPr>
            <w:r>
              <w:t>预算    资金</w:t>
            </w:r>
          </w:p>
        </w:tc>
        <w:tc>
          <w:tcPr>
            <w:tcW w:w="1134" w:type="dxa"/>
            <w:vMerge w:val="continue"/>
          </w:tcPr>
          <w:p>
            <w:pPr>
              <w:keepNext w:val="0"/>
              <w:keepLines w:val="0"/>
              <w:pageBreakBefore w:val="0"/>
              <w:kinsoku/>
              <w:wordWrap/>
              <w:topLinePunct w:val="0"/>
              <w:bidi w:val="0"/>
              <w:spacing w:line="600" w:lineRule="exact"/>
              <w:ind w:left="0"/>
            </w:pPr>
          </w:p>
        </w:tc>
        <w:tc>
          <w:tcPr>
            <w:tcW w:w="1134" w:type="dxa"/>
            <w:vMerge w:val="continue"/>
          </w:tcPr>
          <w:p>
            <w:pPr>
              <w:keepNext w:val="0"/>
              <w:keepLines w:val="0"/>
              <w:pageBreakBefore w:val="0"/>
              <w:kinsoku/>
              <w:wordWrap/>
              <w:topLinePunct w:val="0"/>
              <w:bidi w:val="0"/>
              <w:spacing w:line="600" w:lineRule="exact"/>
              <w:ind w:left="0"/>
            </w:pPr>
          </w:p>
        </w:tc>
        <w:tc>
          <w:tcPr>
            <w:tcW w:w="709" w:type="dxa"/>
            <w:vMerge w:val="continue"/>
          </w:tcPr>
          <w:p>
            <w:pPr>
              <w:keepNext w:val="0"/>
              <w:keepLines w:val="0"/>
              <w:pageBreakBefore w:val="0"/>
              <w:kinsoku/>
              <w:wordWrap/>
              <w:topLinePunct w:val="0"/>
              <w:bidi w:val="0"/>
              <w:spacing w:line="600" w:lineRule="exact"/>
              <w:ind w:left="0"/>
            </w:pPr>
          </w:p>
        </w:tc>
        <w:tc>
          <w:tcPr>
            <w:tcW w:w="850" w:type="dxa"/>
            <w:vMerge w:val="continue"/>
          </w:tcPr>
          <w:p>
            <w:pPr>
              <w:keepNext w:val="0"/>
              <w:keepLines w:val="0"/>
              <w:pageBreakBefore w:val="0"/>
              <w:kinsoku/>
              <w:wordWrap/>
              <w:topLinePunct w:val="0"/>
              <w:bidi w:val="0"/>
              <w:spacing w:line="600" w:lineRule="exact"/>
              <w:ind w:left="0"/>
            </w:pPr>
          </w:p>
        </w:tc>
        <w:tc>
          <w:tcPr>
            <w:tcW w:w="850" w:type="dxa"/>
            <w:vMerge w:val="continue"/>
          </w:tcPr>
          <w:p>
            <w:pPr>
              <w:keepNext w:val="0"/>
              <w:keepLines w:val="0"/>
              <w:pageBreakBefore w:val="0"/>
              <w:kinsoku/>
              <w:wordWrap/>
              <w:topLinePunct w:val="0"/>
              <w:bidi w:val="0"/>
              <w:spacing w:line="600" w:lineRule="exact"/>
              <w:ind w:left="0"/>
            </w:pPr>
          </w:p>
        </w:tc>
        <w:tc>
          <w:tcPr>
            <w:tcW w:w="964" w:type="dxa"/>
            <w:vAlign w:val="center"/>
          </w:tcPr>
          <w:p>
            <w:pPr>
              <w:pStyle w:val="17"/>
              <w:keepNext w:val="0"/>
              <w:keepLines w:val="0"/>
              <w:pageBreakBefore w:val="0"/>
              <w:kinsoku/>
              <w:wordWrap/>
              <w:topLinePunct w:val="0"/>
              <w:bidi w:val="0"/>
              <w:spacing w:line="600" w:lineRule="exact"/>
              <w:ind w:left="0"/>
            </w:pPr>
            <w:r>
              <w:t>合计</w:t>
            </w:r>
          </w:p>
        </w:tc>
        <w:tc>
          <w:tcPr>
            <w:tcW w:w="964" w:type="dxa"/>
            <w:vAlign w:val="center"/>
          </w:tcPr>
          <w:p>
            <w:pPr>
              <w:pStyle w:val="17"/>
              <w:keepNext w:val="0"/>
              <w:keepLines w:val="0"/>
              <w:pageBreakBefore w:val="0"/>
              <w:kinsoku/>
              <w:wordWrap/>
              <w:topLinePunct w:val="0"/>
              <w:bidi w:val="0"/>
              <w:spacing w:line="600" w:lineRule="exact"/>
              <w:ind w:left="0"/>
            </w:pPr>
            <w:r>
              <w:t>一般公共预算拨款</w:t>
            </w:r>
          </w:p>
        </w:tc>
        <w:tc>
          <w:tcPr>
            <w:tcW w:w="964" w:type="dxa"/>
            <w:vAlign w:val="center"/>
          </w:tcPr>
          <w:p>
            <w:pPr>
              <w:pStyle w:val="17"/>
              <w:keepNext w:val="0"/>
              <w:keepLines w:val="0"/>
              <w:pageBreakBefore w:val="0"/>
              <w:kinsoku/>
              <w:wordWrap/>
              <w:topLinePunct w:val="0"/>
              <w:bidi w:val="0"/>
              <w:spacing w:line="600" w:lineRule="exact"/>
              <w:ind w:left="0"/>
            </w:pPr>
            <w:r>
              <w:t>基金预算拨款</w:t>
            </w:r>
          </w:p>
        </w:tc>
        <w:tc>
          <w:tcPr>
            <w:tcW w:w="964" w:type="dxa"/>
            <w:vAlign w:val="center"/>
          </w:tcPr>
          <w:p>
            <w:pPr>
              <w:pStyle w:val="17"/>
              <w:keepNext w:val="0"/>
              <w:keepLines w:val="0"/>
              <w:pageBreakBefore w:val="0"/>
              <w:kinsoku/>
              <w:wordWrap/>
              <w:topLinePunct w:val="0"/>
              <w:bidi w:val="0"/>
              <w:spacing w:line="600" w:lineRule="exact"/>
              <w:ind w:left="0"/>
            </w:pPr>
            <w:r>
              <w:t>国有资本经营预算拨款</w:t>
            </w:r>
          </w:p>
        </w:tc>
        <w:tc>
          <w:tcPr>
            <w:tcW w:w="964" w:type="dxa"/>
            <w:vAlign w:val="center"/>
          </w:tcPr>
          <w:p>
            <w:pPr>
              <w:pStyle w:val="17"/>
              <w:keepNext w:val="0"/>
              <w:keepLines w:val="0"/>
              <w:pageBreakBefore w:val="0"/>
              <w:kinsoku/>
              <w:wordWrap/>
              <w:topLinePunct w:val="0"/>
              <w:bidi w:val="0"/>
              <w:spacing w:line="600" w:lineRule="exact"/>
              <w:ind w:left="0"/>
            </w:pPr>
            <w:r>
              <w:t>财政专户核拨</w:t>
            </w:r>
          </w:p>
        </w:tc>
        <w:tc>
          <w:tcPr>
            <w:tcW w:w="964" w:type="dxa"/>
            <w:vAlign w:val="center"/>
          </w:tcPr>
          <w:p>
            <w:pPr>
              <w:pStyle w:val="17"/>
              <w:keepNext w:val="0"/>
              <w:keepLines w:val="0"/>
              <w:pageBreakBefore w:val="0"/>
              <w:kinsoku/>
              <w:wordWrap/>
              <w:topLinePunct w:val="0"/>
              <w:bidi w:val="0"/>
              <w:spacing w:line="600" w:lineRule="exact"/>
              <w:ind w:left="0"/>
            </w:pPr>
            <w:r>
              <w:t>单位    资金</w:t>
            </w:r>
          </w:p>
        </w:tc>
        <w:tc>
          <w:tcPr>
            <w:tcW w:w="964" w:type="dxa"/>
            <w:vAlign w:val="center"/>
          </w:tcPr>
          <w:p>
            <w:pPr>
              <w:pStyle w:val="17"/>
              <w:keepNext w:val="0"/>
              <w:keepLines w:val="0"/>
              <w:pageBreakBefore w:val="0"/>
              <w:kinsoku/>
              <w:wordWrap/>
              <w:topLinePunct w:val="0"/>
              <w:bidi w:val="0"/>
              <w:spacing w:line="600" w:lineRule="exact"/>
              <w:ind w:left="0"/>
            </w:pPr>
            <w:r>
              <w:t>财政拨    款结转</w:t>
            </w:r>
          </w:p>
        </w:tc>
        <w:tc>
          <w:tcPr>
            <w:tcW w:w="964" w:type="dxa"/>
            <w:vAlign w:val="center"/>
          </w:tcPr>
          <w:p>
            <w:pPr>
              <w:pStyle w:val="17"/>
              <w:keepNext w:val="0"/>
              <w:keepLines w:val="0"/>
              <w:pageBreakBefore w:val="0"/>
              <w:kinsoku/>
              <w:wordWrap/>
              <w:topLinePunct w:val="0"/>
              <w:bidi w:val="0"/>
              <w:spacing w:line="600" w:lineRule="exact"/>
              <w:ind w:left="0"/>
            </w:pPr>
            <w:r>
              <w:t>非财政    拨款结    转结余</w:t>
            </w:r>
          </w:p>
        </w:tc>
        <w:tc>
          <w:tcPr>
            <w:tcW w:w="964" w:type="dxa"/>
            <w:vMerge w:val="continue"/>
          </w:tcPr>
          <w:p>
            <w:pPr>
              <w:keepNext w:val="0"/>
              <w:keepLines w:val="0"/>
              <w:pageBreakBefore w:val="0"/>
              <w:kinsoku/>
              <w:wordWrap/>
              <w:topLinePunct w:val="0"/>
              <w:bidi w:val="0"/>
              <w:spacing w:line="600" w:lineRule="exact"/>
              <w:ind w:left="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keepNext w:val="0"/>
              <w:keepLines w:val="0"/>
              <w:pageBreakBefore w:val="0"/>
              <w:kinsoku/>
              <w:wordWrap/>
              <w:topLinePunct w:val="0"/>
              <w:bidi w:val="0"/>
              <w:spacing w:line="600" w:lineRule="exact"/>
              <w:ind w:left="0"/>
            </w:pPr>
            <w:r>
              <w:t>合  计</w:t>
            </w:r>
          </w:p>
        </w:tc>
        <w:tc>
          <w:tcPr>
            <w:tcW w:w="964" w:type="dxa"/>
            <w:vAlign w:val="center"/>
          </w:tcPr>
          <w:p>
            <w:pPr>
              <w:pStyle w:val="22"/>
              <w:keepNext w:val="0"/>
              <w:keepLines w:val="0"/>
              <w:pageBreakBefore w:val="0"/>
              <w:tabs>
                <w:tab w:val="left" w:pos="255"/>
              </w:tabs>
              <w:kinsoku/>
              <w:wordWrap/>
              <w:topLinePunct w:val="0"/>
              <w:bidi w:val="0"/>
              <w:spacing w:line="600" w:lineRule="exact"/>
              <w:ind w:left="0"/>
              <w:jc w:val="left"/>
              <w:rPr>
                <w:rFonts w:hint="default" w:eastAsia="方正书宋_GBK"/>
                <w:lang w:val="en-US" w:eastAsia="zh-CN"/>
              </w:rPr>
            </w:pPr>
            <w:r>
              <w:rPr>
                <w:rFonts w:hint="eastAsia"/>
                <w:lang w:eastAsia="zh-CN"/>
              </w:rPr>
              <w:tab/>
            </w:r>
            <w:r>
              <w:rPr>
                <w:rFonts w:hint="eastAsia"/>
                <w:lang w:val="en-US" w:eastAsia="zh-CN"/>
              </w:rPr>
              <w:t>0</w:t>
            </w:r>
          </w:p>
        </w:tc>
        <w:tc>
          <w:tcPr>
            <w:tcW w:w="1134" w:type="dxa"/>
            <w:vAlign w:val="center"/>
          </w:tcPr>
          <w:p>
            <w:pPr>
              <w:pStyle w:val="23"/>
              <w:keepNext w:val="0"/>
              <w:keepLines w:val="0"/>
              <w:pageBreakBefore w:val="0"/>
              <w:kinsoku/>
              <w:wordWrap/>
              <w:topLinePunct w:val="0"/>
              <w:bidi w:val="0"/>
              <w:spacing w:line="600" w:lineRule="exact"/>
              <w:ind w:left="0"/>
            </w:pPr>
          </w:p>
        </w:tc>
        <w:tc>
          <w:tcPr>
            <w:tcW w:w="1134" w:type="dxa"/>
            <w:vAlign w:val="center"/>
          </w:tcPr>
          <w:p>
            <w:pPr>
              <w:pStyle w:val="23"/>
              <w:keepNext w:val="0"/>
              <w:keepLines w:val="0"/>
              <w:pageBreakBefore w:val="0"/>
              <w:kinsoku/>
              <w:wordWrap/>
              <w:topLinePunct w:val="0"/>
              <w:bidi w:val="0"/>
              <w:spacing w:line="600" w:lineRule="exact"/>
              <w:ind w:left="0"/>
            </w:pPr>
          </w:p>
        </w:tc>
        <w:tc>
          <w:tcPr>
            <w:tcW w:w="709" w:type="dxa"/>
            <w:vAlign w:val="center"/>
          </w:tcPr>
          <w:p>
            <w:pPr>
              <w:pStyle w:val="21"/>
              <w:keepNext w:val="0"/>
              <w:keepLines w:val="0"/>
              <w:pageBreakBefore w:val="0"/>
              <w:kinsoku/>
              <w:wordWrap/>
              <w:topLinePunct w:val="0"/>
              <w:bidi w:val="0"/>
              <w:spacing w:line="600" w:lineRule="exact"/>
              <w:ind w:left="0"/>
            </w:pPr>
          </w:p>
        </w:tc>
        <w:tc>
          <w:tcPr>
            <w:tcW w:w="850" w:type="dxa"/>
            <w:vAlign w:val="center"/>
          </w:tcPr>
          <w:p>
            <w:pPr>
              <w:pStyle w:val="22"/>
              <w:keepNext w:val="0"/>
              <w:keepLines w:val="0"/>
              <w:pageBreakBefore w:val="0"/>
              <w:kinsoku/>
              <w:wordWrap/>
              <w:topLinePunct w:val="0"/>
              <w:bidi w:val="0"/>
              <w:spacing w:line="600" w:lineRule="exact"/>
              <w:ind w:left="0"/>
            </w:pPr>
          </w:p>
        </w:tc>
        <w:tc>
          <w:tcPr>
            <w:tcW w:w="850"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rPr>
                <w:rFonts w:hint="eastAsia" w:eastAsia="方正书宋_GBK"/>
                <w:lang w:val="en-US" w:eastAsia="zh-CN"/>
              </w:rPr>
            </w:pPr>
            <w:r>
              <w:rPr>
                <w:rFonts w:hint="eastAsia"/>
                <w:lang w:val="en-US" w:eastAsia="zh-CN"/>
              </w:rPr>
              <w:t>0</w:t>
            </w: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1134" w:type="dxa"/>
            <w:vAlign w:val="center"/>
          </w:tcPr>
          <w:p>
            <w:pPr>
              <w:pStyle w:val="23"/>
              <w:keepNext w:val="0"/>
              <w:keepLines w:val="0"/>
              <w:pageBreakBefore w:val="0"/>
              <w:kinsoku/>
              <w:wordWrap/>
              <w:topLinePunct w:val="0"/>
              <w:bidi w:val="0"/>
              <w:spacing w:line="600" w:lineRule="exact"/>
              <w:ind w:left="0"/>
            </w:pPr>
          </w:p>
        </w:tc>
        <w:tc>
          <w:tcPr>
            <w:tcW w:w="1134" w:type="dxa"/>
            <w:vAlign w:val="center"/>
          </w:tcPr>
          <w:p>
            <w:pPr>
              <w:pStyle w:val="23"/>
              <w:keepNext w:val="0"/>
              <w:keepLines w:val="0"/>
              <w:pageBreakBefore w:val="0"/>
              <w:kinsoku/>
              <w:wordWrap/>
              <w:topLinePunct w:val="0"/>
              <w:bidi w:val="0"/>
              <w:spacing w:line="600" w:lineRule="exact"/>
              <w:ind w:left="0"/>
            </w:pPr>
          </w:p>
        </w:tc>
        <w:tc>
          <w:tcPr>
            <w:tcW w:w="709" w:type="dxa"/>
            <w:vAlign w:val="center"/>
          </w:tcPr>
          <w:p>
            <w:pPr>
              <w:pStyle w:val="21"/>
              <w:keepNext w:val="0"/>
              <w:keepLines w:val="0"/>
              <w:pageBreakBefore w:val="0"/>
              <w:kinsoku/>
              <w:wordWrap/>
              <w:topLinePunct w:val="0"/>
              <w:bidi w:val="0"/>
              <w:spacing w:line="600" w:lineRule="exact"/>
              <w:ind w:left="0"/>
            </w:pPr>
          </w:p>
        </w:tc>
        <w:tc>
          <w:tcPr>
            <w:tcW w:w="850" w:type="dxa"/>
            <w:vAlign w:val="center"/>
          </w:tcPr>
          <w:p>
            <w:pPr>
              <w:pStyle w:val="22"/>
              <w:keepNext w:val="0"/>
              <w:keepLines w:val="0"/>
              <w:pageBreakBefore w:val="0"/>
              <w:kinsoku/>
              <w:wordWrap/>
              <w:topLinePunct w:val="0"/>
              <w:bidi w:val="0"/>
              <w:spacing w:line="600" w:lineRule="exact"/>
              <w:ind w:left="0"/>
            </w:pPr>
          </w:p>
        </w:tc>
        <w:tc>
          <w:tcPr>
            <w:tcW w:w="850"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c>
          <w:tcPr>
            <w:tcW w:w="964" w:type="dxa"/>
            <w:vAlign w:val="center"/>
          </w:tcPr>
          <w:p>
            <w:pPr>
              <w:pStyle w:val="22"/>
              <w:keepNext w:val="0"/>
              <w:keepLines w:val="0"/>
              <w:pageBreakBefore w:val="0"/>
              <w:kinsoku/>
              <w:wordWrap/>
              <w:topLinePunct w:val="0"/>
              <w:bidi w:val="0"/>
              <w:spacing w:line="600" w:lineRule="exact"/>
              <w:ind w:left="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1134" w:type="dxa"/>
            <w:vAlign w:val="center"/>
          </w:tcPr>
          <w:p>
            <w:pPr>
              <w:pStyle w:val="19"/>
              <w:keepNext w:val="0"/>
              <w:keepLines w:val="0"/>
              <w:pageBreakBefore w:val="0"/>
              <w:kinsoku/>
              <w:wordWrap/>
              <w:topLinePunct w:val="0"/>
              <w:bidi w:val="0"/>
              <w:spacing w:line="600" w:lineRule="exact"/>
              <w:ind w:left="0"/>
            </w:pPr>
          </w:p>
        </w:tc>
        <w:tc>
          <w:tcPr>
            <w:tcW w:w="1134" w:type="dxa"/>
            <w:vAlign w:val="center"/>
          </w:tcPr>
          <w:p>
            <w:pPr>
              <w:pStyle w:val="19"/>
              <w:keepNext w:val="0"/>
              <w:keepLines w:val="0"/>
              <w:pageBreakBefore w:val="0"/>
              <w:kinsoku/>
              <w:wordWrap/>
              <w:topLinePunct w:val="0"/>
              <w:bidi w:val="0"/>
              <w:spacing w:line="600" w:lineRule="exact"/>
              <w:ind w:left="0"/>
            </w:pPr>
          </w:p>
        </w:tc>
        <w:tc>
          <w:tcPr>
            <w:tcW w:w="709" w:type="dxa"/>
            <w:vAlign w:val="center"/>
          </w:tcPr>
          <w:p>
            <w:pPr>
              <w:pStyle w:val="20"/>
              <w:keepNext w:val="0"/>
              <w:keepLines w:val="0"/>
              <w:pageBreakBefore w:val="0"/>
              <w:kinsoku/>
              <w:wordWrap/>
              <w:topLinePunct w:val="0"/>
              <w:bidi w:val="0"/>
              <w:spacing w:line="600" w:lineRule="exact"/>
              <w:ind w:left="0"/>
            </w:pPr>
          </w:p>
        </w:tc>
        <w:tc>
          <w:tcPr>
            <w:tcW w:w="850" w:type="dxa"/>
            <w:vAlign w:val="center"/>
          </w:tcPr>
          <w:p>
            <w:pPr>
              <w:pStyle w:val="18"/>
              <w:keepNext w:val="0"/>
              <w:keepLines w:val="0"/>
              <w:pageBreakBefore w:val="0"/>
              <w:kinsoku/>
              <w:wordWrap/>
              <w:topLinePunct w:val="0"/>
              <w:bidi w:val="0"/>
              <w:spacing w:line="600" w:lineRule="exact"/>
              <w:ind w:left="0"/>
            </w:pPr>
          </w:p>
        </w:tc>
        <w:tc>
          <w:tcPr>
            <w:tcW w:w="850"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c>
          <w:tcPr>
            <w:tcW w:w="964" w:type="dxa"/>
            <w:vAlign w:val="center"/>
          </w:tcPr>
          <w:p>
            <w:pPr>
              <w:pStyle w:val="18"/>
              <w:keepNext w:val="0"/>
              <w:keepLines w:val="0"/>
              <w:pageBreakBefore w:val="0"/>
              <w:kinsoku/>
              <w:wordWrap/>
              <w:topLinePunct w:val="0"/>
              <w:bidi w:val="0"/>
              <w:spacing w:line="600" w:lineRule="exact"/>
              <w:ind w:left="0"/>
            </w:pPr>
          </w:p>
        </w:tc>
      </w:tr>
    </w:tbl>
    <w:p>
      <w:pPr>
        <w:keepNext w:val="0"/>
        <w:keepLines w:val="0"/>
        <w:pageBreakBefore w:val="0"/>
        <w:kinsoku/>
        <w:wordWrap/>
        <w:topLinePunct w:val="0"/>
        <w:bidi w:val="0"/>
        <w:spacing w:line="600" w:lineRule="exact"/>
        <w:ind w:left="0"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keepNext w:val="0"/>
        <w:keepLines w:val="0"/>
        <w:pageBreakBefore w:val="0"/>
        <w:kinsoku/>
        <w:wordWrap/>
        <w:topLinePunct w:val="0"/>
        <w:bidi w:val="0"/>
        <w:spacing w:line="60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中共大城县委组织部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410.7927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keepNext w:val="0"/>
        <w:keepLines w:val="0"/>
        <w:pageBreakBefore w:val="0"/>
        <w:kinsoku/>
        <w:wordWrap/>
        <w:topLinePunct w:val="0"/>
        <w:bidi w:val="0"/>
        <w:spacing w:line="600" w:lineRule="exact"/>
        <w:ind w:left="0"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600" w:lineRule="exact"/>
              <w:ind w:left="0"/>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w:t>
            </w:r>
            <w:r>
              <w:rPr>
                <w:rFonts w:hint="eastAsia"/>
                <w:lang w:eastAsia="zh-CN"/>
              </w:rPr>
              <w:t>中共大城县委组织部本级</w:t>
            </w:r>
            <w:r>
              <w:t xml:space="preserve">  </w:t>
            </w:r>
          </w:p>
        </w:tc>
        <w:tc>
          <w:tcPr>
            <w:tcW w:w="5103" w:type="dxa"/>
            <w:tcBorders>
              <w:top w:val="nil"/>
              <w:left w:val="nil"/>
              <w:bottom w:val="nil"/>
              <w:right w:val="nil"/>
            </w:tcBorders>
            <w:shd w:val="clear" w:color="auto" w:fill="auto"/>
            <w:noWrap/>
            <w:vAlign w:val="center"/>
          </w:tcPr>
          <w:p>
            <w:pPr>
              <w:keepNext w:val="0"/>
              <w:keepLines w:val="0"/>
              <w:pageBreakBefore w:val="0"/>
              <w:widowControl/>
              <w:kinsoku/>
              <w:wordWrap/>
              <w:topLinePunct w:val="0"/>
              <w:bidi w:val="0"/>
              <w:spacing w:line="600" w:lineRule="exact"/>
              <w:ind w:left="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410.7927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topLinePunct w:val="0"/>
              <w:bidi w:val="0"/>
              <w:spacing w:line="600" w:lineRule="exact"/>
              <w:ind w:lef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topLinePunct w:val="0"/>
              <w:bidi w:val="0"/>
              <w:spacing w:line="600" w:lineRule="exact"/>
              <w:ind w:lef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393.2127</w:t>
            </w:r>
          </w:p>
        </w:tc>
      </w:tr>
    </w:tbl>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bCs w:val="0"/>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bCs w:val="0"/>
          <w:sz w:val="32"/>
          <w:szCs w:val="32"/>
        </w:rPr>
        <w:t>2、事业收入：</w:t>
      </w:r>
      <w:r>
        <w:rPr>
          <w:rFonts w:ascii="Times New Roman" w:hAnsi="Times New Roman" w:eastAsia="仿宋_GB2312" w:cs="Times New Roman"/>
          <w:sz w:val="32"/>
          <w:szCs w:val="32"/>
        </w:rPr>
        <w:t>指事业单位开展专业业务活动及辅助活动所取得的收入。</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b/>
          <w:sz w:val="32"/>
          <w:szCs w:val="32"/>
        </w:rPr>
      </w:pPr>
      <w:r>
        <w:rPr>
          <w:rFonts w:ascii="Times New Roman" w:hAnsi="Times New Roman" w:eastAsia="仿宋_GB2312" w:cs="Times New Roman"/>
          <w:b/>
          <w:bCs w:val="0"/>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keepNext w:val="0"/>
        <w:keepLines w:val="0"/>
        <w:pageBreakBefore w:val="0"/>
        <w:tabs>
          <w:tab w:val="left" w:pos="11490"/>
        </w:tabs>
        <w:kinsoku/>
        <w:wordWrap/>
        <w:topLinePunct w:val="0"/>
        <w:bidi w:val="0"/>
        <w:spacing w:line="600" w:lineRule="exact"/>
        <w:ind w:left="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kinsoku/>
        <w:wordWrap/>
        <w:topLinePunct w:val="0"/>
        <w:autoSpaceDE w:val="0"/>
        <w:autoSpaceDN w:val="0"/>
        <w:bidi w:val="0"/>
        <w:adjustRightInd w:val="0"/>
        <w:spacing w:line="600" w:lineRule="exact"/>
        <w:ind w:left="0"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keepNext w:val="0"/>
        <w:keepLines w:val="0"/>
        <w:pageBreakBefore w:val="0"/>
        <w:kinsoku/>
        <w:wordWrap/>
        <w:topLinePunct w:val="0"/>
        <w:bidi w:val="0"/>
        <w:spacing w:line="600" w:lineRule="exact"/>
        <w:ind w:left="0" w:firstLine="640" w:firstLineChars="200"/>
        <w:rPr>
          <w:rFonts w:ascii="Times New Roman" w:hAnsi="Times New Roman" w:eastAsia="仿宋_GB2312" w:cs="Times New Roman"/>
          <w:sz w:val="32"/>
          <w:szCs w:val="32"/>
        </w:rPr>
      </w:pPr>
    </w:p>
    <w:p>
      <w:pPr>
        <w:keepNext w:val="0"/>
        <w:keepLines w:val="0"/>
        <w:pageBreakBefore w:val="0"/>
        <w:kinsoku/>
        <w:wordWrap/>
        <w:topLinePunct w:val="0"/>
        <w:bidi w:val="0"/>
        <w:spacing w:line="600" w:lineRule="exact"/>
        <w:ind w:left="0"/>
        <w:rPr>
          <w:rFonts w:ascii="Times New Roman" w:hAnsi="Times New Roman" w:eastAsia="仿宋_GB2312" w:cs="Times New Roman"/>
          <w:sz w:val="32"/>
          <w:szCs w:val="32"/>
        </w:rPr>
      </w:pPr>
    </w:p>
    <w:p>
      <w:pPr>
        <w:keepNext w:val="0"/>
        <w:keepLines w:val="0"/>
        <w:pageBreakBefore w:val="0"/>
        <w:kinsoku/>
        <w:wordWrap/>
        <w:topLinePunct w:val="0"/>
        <w:bidi w:val="0"/>
        <w:spacing w:line="600" w:lineRule="exact"/>
        <w:ind w:left="0"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701" w:right="1417" w:bottom="1701" w:left="141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lNWY3NmZhMDNjNDgwNTUwMDY2NWI4Y2U4MjcyMzk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47C2D15"/>
    <w:rsid w:val="187710E6"/>
    <w:rsid w:val="1C502F39"/>
    <w:rsid w:val="22D826D1"/>
    <w:rsid w:val="263E1E03"/>
    <w:rsid w:val="27F52E0B"/>
    <w:rsid w:val="371525DA"/>
    <w:rsid w:val="3B31744A"/>
    <w:rsid w:val="3E8B454E"/>
    <w:rsid w:val="3F655022"/>
    <w:rsid w:val="439A7EB6"/>
    <w:rsid w:val="49BC38B0"/>
    <w:rsid w:val="4B1B7E71"/>
    <w:rsid w:val="4C59524B"/>
    <w:rsid w:val="4F3D0DC7"/>
    <w:rsid w:val="51F37FC4"/>
    <w:rsid w:val="55E03885"/>
    <w:rsid w:val="57E040E2"/>
    <w:rsid w:val="5E3E0DA2"/>
    <w:rsid w:val="687D1153"/>
    <w:rsid w:val="6B1D22BB"/>
    <w:rsid w:val="71E7368C"/>
    <w:rsid w:val="7B0153D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Heading 2"/>
    <w:basedOn w:val="1"/>
    <w:qFormat/>
    <w:uiPriority w:val="1"/>
    <w:pPr>
      <w:autoSpaceDE w:val="0"/>
      <w:autoSpaceDN w:val="0"/>
      <w:ind w:left="760"/>
      <w:jc w:val="left"/>
      <w:outlineLvl w:val="2"/>
    </w:pPr>
    <w:rPr>
      <w:rFonts w:ascii="微软雅黑" w:hAnsi="微软雅黑" w:eastAsia="微软雅黑" w:cs="微软雅黑"/>
      <w:b/>
      <w:bCs/>
      <w:kern w:val="0"/>
      <w:sz w:val="32"/>
      <w:szCs w:val="32"/>
      <w:lang w:val="zh-CN" w:bidi="zh-CN"/>
    </w:rPr>
  </w:style>
  <w:style w:type="character" w:customStyle="1" w:styleId="25">
    <w:name w:val="17"/>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4925</Words>
  <Characters>5091</Characters>
  <Lines>35</Lines>
  <Paragraphs>10</Paragraphs>
  <TotalTime>19</TotalTime>
  <ScaleCrop>false</ScaleCrop>
  <LinksUpToDate>false</LinksUpToDate>
  <CharactersWithSpaces>5250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清风拂山岗</cp:lastModifiedBy>
  <cp:lastPrinted>2023-01-29T01:01:00Z</cp:lastPrinted>
  <dcterms:modified xsi:type="dcterms:W3CDTF">2023-07-31T02:51:22Z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E0DCD2FAFD4C4EC78104898D7A030BBD</vt:lpwstr>
  </property>
</Properties>
</file>