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大城县留各庄镇人民政府本级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大城县留各庄镇人民政府本级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一）党政综合办公室（财政所）。</w:t>
      </w:r>
      <w:r>
        <w:rPr>
          <w:rFonts w:hint="eastAsia" w:ascii="仿宋_GB2312" w:hAnsi="仿宋_GB2312" w:eastAsia="仿宋_GB2312" w:cs="仿宋_GB2312"/>
          <w:sz w:val="32"/>
          <w:szCs w:val="32"/>
        </w:rPr>
        <w:t>负责党委、政府日常事务；负责镇各部门的综合协调、行政事务等工作；负责文秘、会务、督查、信息、档案、保密、机要、后勤保障等日常工作；</w:t>
      </w:r>
      <w:r>
        <w:rPr>
          <w:rFonts w:hint="eastAsia" w:ascii="仿宋_GB2312" w:hAnsi="仿宋_GB2312" w:eastAsia="仿宋_GB2312" w:cs="仿宋_GB2312"/>
          <w:sz w:val="32"/>
          <w:szCs w:val="32"/>
          <w:lang w:val="en-US" w:eastAsia="zh-CN"/>
        </w:rPr>
        <w:t>负责人事管理、</w:t>
      </w:r>
      <w:r>
        <w:rPr>
          <w:rFonts w:hint="eastAsia" w:ascii="仿宋_GB2312" w:hAnsi="仿宋_GB2312" w:eastAsia="仿宋_GB2312" w:cs="仿宋_GB2312"/>
          <w:sz w:val="32"/>
          <w:szCs w:val="32"/>
        </w:rPr>
        <w:t>机构编制、</w:t>
      </w:r>
      <w:r>
        <w:rPr>
          <w:rFonts w:hint="eastAsia" w:ascii="仿宋_GB2312" w:hAnsi="仿宋_GB2312" w:eastAsia="仿宋_GB2312" w:cs="仿宋_GB2312"/>
          <w:sz w:val="32"/>
          <w:szCs w:val="32"/>
          <w:lang w:val="en-US" w:eastAsia="zh-CN"/>
        </w:rPr>
        <w:t>离退休人员管理等</w:t>
      </w:r>
      <w:r>
        <w:rPr>
          <w:rFonts w:hint="eastAsia" w:ascii="仿宋_GB2312" w:hAnsi="仿宋_GB2312" w:eastAsia="仿宋_GB2312" w:cs="仿宋_GB2312"/>
          <w:sz w:val="32"/>
          <w:szCs w:val="32"/>
        </w:rPr>
        <w:t>工作；负责财务、资产管理等方面工作；负责辖区信访维稳工作；负责辖区统计调查工作；完成党委、政府交办的其他工作。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（二）党建工作办公室（人大主席团办公室）。</w:t>
      </w:r>
      <w:r>
        <w:rPr>
          <w:rFonts w:hint="eastAsia" w:ascii="仿宋_GB2312" w:hAnsi="仿宋_GB2312" w:eastAsia="仿宋_GB2312" w:cs="仿宋_GB2312"/>
          <w:sz w:val="32"/>
          <w:szCs w:val="32"/>
        </w:rPr>
        <w:t>负责党的政治建设、组织建设、思想宣传、精神文明建设、统战、侨务、民族宗教等方面工作；</w:t>
      </w:r>
      <w:r>
        <w:rPr>
          <w:rFonts w:hint="eastAsia" w:ascii="仿宋_GB2312" w:hAnsi="仿宋_GB2312" w:eastAsia="仿宋_GB2312" w:cs="仿宋_GB2312"/>
          <w:sz w:val="32"/>
          <w:szCs w:val="32"/>
          <w:lang w:val="en-US" w:eastAsia="zh-CN"/>
        </w:rPr>
        <w:t>负责党建联席会议日常工作；</w:t>
      </w:r>
      <w:r>
        <w:rPr>
          <w:rFonts w:hint="eastAsia" w:ascii="仿宋_GB2312" w:hAnsi="仿宋_GB2312" w:eastAsia="仿宋_GB2312" w:cs="仿宋_GB2312"/>
          <w:sz w:val="32"/>
          <w:szCs w:val="32"/>
        </w:rPr>
        <w:t>负责落实基层党建责任制，基层服务型党组织建设、区域化党建和“两新”组织党建、居民区党建，党代表联络服务等方面工作；负责人大主席团的日常工作；负责党员教育管理等方面工作；负责工会、共青团、妇联等方面工作；负责党务公开工作；负责财务内部审计监督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（三）应急管理办公室。</w:t>
      </w:r>
      <w:r>
        <w:rPr>
          <w:rFonts w:hint="eastAsia" w:ascii="仿宋_GB2312" w:hAnsi="仿宋_GB2312" w:eastAsia="仿宋_GB2312" w:cs="仿宋_GB2312"/>
          <w:sz w:val="32"/>
          <w:szCs w:val="32"/>
        </w:rPr>
        <w:t>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（四）自然资源和生态环境办公室。</w:t>
      </w:r>
      <w:r>
        <w:rPr>
          <w:rFonts w:hint="eastAsia" w:ascii="仿宋_GB2312" w:hAnsi="仿宋_GB2312" w:eastAsia="仿宋_GB2312" w:cs="仿宋_GB2312"/>
          <w:sz w:val="32"/>
          <w:szCs w:val="32"/>
        </w:rPr>
        <w:t>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（五）综合行政执法队（综合指挥和信息化网络中心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社会治安综合治理中心）。</w:t>
      </w:r>
      <w:r>
        <w:rPr>
          <w:rFonts w:hint="eastAsia" w:ascii="仿宋_GB2312" w:hAnsi="仿宋_GB2312" w:eastAsia="仿宋_GB2312" w:cs="仿宋_GB2312"/>
          <w:sz w:val="32"/>
          <w:szCs w:val="32"/>
        </w:rPr>
        <w:t>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等相关工作；协调辖区法庭、派出所、司法所相关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行政综合服务中心。</w:t>
      </w:r>
      <w:r>
        <w:rPr>
          <w:rFonts w:hint="eastAsia" w:ascii="仿宋_GB2312" w:hAnsi="仿宋_GB2312" w:eastAsia="仿宋_GB2312" w:cs="仿宋_GB2312"/>
          <w:sz w:val="32"/>
          <w:szCs w:val="32"/>
        </w:rPr>
        <w:t>根据法律法规和省政府授权，承担辖区行政审批服务工作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辖区计划生育、社会保障、民政事务、残疾人保障、医疗保障等相关工作；负责社区事务管理工作，指导居民委员会等基层群众性自治组织建设，健全自治平台；负责指导居民委员会的换届选举工作；指导居民委员会建立健全各项自治制度，并予以备案；按权限负责基层社区社会组织的分类指导和业务指导；负责指导辖区内业主大会的成立和业主委员会的选举工作；按权限负责社区工作者的日常管理工作；指导、帮助居民委员会做好社会治安综合治理工作；指导居民委员会开展群众性的消防工作；组织动员社区居民、单位和社会力量参与社区治理，整合辖区内社会力量，行成社区共治合力，为社区发展服务，对社区工作者队伍进行管理；承担辖区物业管理和监督指导工作；负责指导辖区内业主大会的成立和业委会的选举工作；协助有关部门对区域内物业管理活动进行监督管理；负责召集物业管理联席会议；负责调解物业管理纠纷，协助处理物业管理投诉；协助县物业管理行政主管部门做好物业承接查验备案、住宅专项维修资金监管、物业服务企业信用信息征集等工作；协调和指导未实施物业管理小区的管理服务等工作；法律法规规章规定的其他职责；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（七）农业综合服务中心（经济发展中心）。</w:t>
      </w:r>
      <w:r>
        <w:rPr>
          <w:rFonts w:hint="eastAsia" w:ascii="仿宋_GB2312" w:hAnsi="仿宋_GB2312" w:eastAsia="仿宋_GB2312" w:cs="仿宋_GB2312"/>
          <w:sz w:val="32"/>
          <w:szCs w:val="32"/>
        </w:rPr>
        <w:t>负责辖区农业、畜牧、水利等方面工作；负责辖区农村扶贫开发的具体实施；负责辖区经济发展、企业服务相关工作；负责辖区村民委员会成员的任期和离任经济责任审计工作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（八）退役军人服务站。</w:t>
      </w:r>
      <w:r>
        <w:rPr>
          <w:rFonts w:hint="eastAsia" w:ascii="仿宋_GB2312" w:hAnsi="仿宋_GB2312" w:eastAsia="仿宋_GB2312" w:cs="仿宋_GB2312"/>
          <w:sz w:val="32"/>
          <w:szCs w:val="32"/>
        </w:rPr>
        <w:t>负责依照法定权限，做好本辖区的征兵、民兵、预备役、国防教育、国民经济动员、人民防空、国防交通、国防设施保护、拥军优属、退役军人服务等工作；完成党委、政府交办的其他工作。</w:t>
      </w:r>
    </w:p>
    <w:p>
      <w:pPr>
        <w:keepNext w:val="0"/>
        <w:keepLines w:val="0"/>
        <w:pageBreakBefore w:val="0"/>
        <w:widowControl w:val="0"/>
        <w:kinsoku/>
        <w:topLinePunct w:val="0"/>
        <w:autoSpaceDE/>
        <w:autoSpaceDN/>
        <w:bidi w:val="0"/>
        <w:adjustRightInd/>
        <w:snapToGrid/>
        <w:spacing w:line="55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（九）综合文化服务站。</w:t>
      </w:r>
      <w:r>
        <w:rPr>
          <w:rFonts w:hint="eastAsia" w:ascii="仿宋_GB2312" w:hAnsi="仿宋_GB2312" w:eastAsia="仿宋_GB2312" w:cs="仿宋_GB2312"/>
          <w:sz w:val="32"/>
          <w:szCs w:val="32"/>
        </w:rPr>
        <w:t>负责辖区科技、教育、体育、文化旅游、卫生健康、居家养老服务等方面工作；完成党委、政府交办的其他工作。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b w:val="0"/>
                <w:bCs/>
                <w:sz w:val="21"/>
                <w:szCs w:val="21"/>
                <w:lang w:val="en-US" w:eastAsia="zh-CN"/>
              </w:rPr>
              <w:t>大城县留各庄镇人民政府（本级）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b w:val="0"/>
                <w:bCs/>
                <w:sz w:val="21"/>
                <w:szCs w:val="21"/>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b w:val="0"/>
                <w:bCs/>
                <w:sz w:val="21"/>
                <w:szCs w:val="21"/>
                <w:lang w:val="en-US" w:eastAsia="zh-CN"/>
              </w:rPr>
              <w:t>正科</w:t>
            </w:r>
            <w:r>
              <w:rPr>
                <w:rFonts w:hint="eastAsia" w:ascii="宋体" w:hAnsi="宋体" w:eastAsia="宋体" w:cs="宋体"/>
                <w:b w:val="0"/>
                <w:bCs/>
                <w:sz w:val="21"/>
                <w:szCs w:val="21"/>
                <w:lang w:eastAsia="zh-CN"/>
              </w:rPr>
              <w:t>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b w:val="0"/>
                <w:bCs/>
                <w:sz w:val="21"/>
                <w:szCs w:val="21"/>
                <w:lang w:val="en-US" w:eastAsia="zh-CN"/>
              </w:rPr>
              <w:t>财政拨款（行政）</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default" w:ascii="Times New Roman" w:hAnsi="Times New Roman" w:eastAsia="仿宋_GB2312" w:cs="Times New Roman"/>
          <w:b/>
          <w:sz w:val="32"/>
          <w:szCs w:val="32"/>
          <w:lang w:val="en-US"/>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1499.18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468.50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1440.98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1243.90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197.08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526.70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园区基础设施配套补助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坑塘及沟渠废水治理修复项目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供电线路改造工程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82.73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67.50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宗教事务管理、供电线路改造工程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197.08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留各庄镇政府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lang w:val="en-US" w:eastAsia="zh-CN"/>
        </w:rPr>
        <w:t>比持平，无增减变化，其中，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与2021年相比持平，无增减变化</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；公务接待费与</w:t>
      </w:r>
      <w:r>
        <w:rPr>
          <w:rFonts w:hint="eastAsia" w:ascii="Times New Roman" w:hAnsi="Times New Roman" w:eastAsia="仿宋_GB2312" w:cs="Times New Roman"/>
          <w:sz w:val="32"/>
          <w:szCs w:val="32"/>
          <w:lang w:val="en-US" w:eastAsia="zh-CN"/>
        </w:rPr>
        <w:t>2021年相比持平，无增减变化。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1"/>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是党的二十大召开之年，留各庄镇将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wordWrap/>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1.通过开展安全生产工作，发现安全隐患，减少事故发生。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绩效目标：</w:t>
      </w:r>
      <w:r>
        <w:rPr>
          <w:rFonts w:hint="eastAsia" w:ascii="Times New Roman" w:hAnsi="Times New Roman" w:eastAsia="仿宋_GB2312" w:cs="Times New Roman"/>
          <w:sz w:val="32"/>
          <w:szCs w:val="32"/>
          <w:lang w:val="en-US" w:eastAsia="zh-CN"/>
        </w:rPr>
        <w:t>通过开展安全生产巡查、宣传等工作，及时处理安全生产事故，提高辖区内企业安全生产意识，实现创造一个安全生产生活环境的目标。</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通过开展安全生产巡查，每年不低于50次，及时发现处理安全生产隐患，使事故处理及时率达到90%以上；开展宣传法律法规工作，提高辖区内企业安全生产意识，实现健全安监制度，隐患整改率不低于90%，创造一个安全生产生活环境的目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2.通过开展农村环境治理工作，提升农村居民生活质量。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绩效目标：通过项目的开展使我镇垃圾及时有效处理，环境质量达到明显改善，建立农村环境整治长效管理机制，实现群众得到满意效果目标。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对我镇39个村街进行摸底排查，开展农村环境整治工作，使我镇垃圾及时有效处理，发现一处，整理一处，不留死角，实现我镇环境质量明显改善，建立农村环境整治长效管理机制，打造绿色宜居乡村。</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3.通过开展妇联工作，加强妇联基层组织建设。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逐渐填补妇联基层组织建设空白点，实现妇女工作精细化，全面提升基层妇联组织建设规范化水平，进一步加强基层妇女组织建设，充分地发挥基层妇女组织的作用，推动我镇妇女工作和妇女事业的更好发展。</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绩效指标：通过举办相关妇联培训及评选活动，确保镇区内妇女之家建设数量不低于12个，提升妇联工作水平，加强后备干部建设，推动我镇妇女工作和妇女事业的更好发展。</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4.通过开展环保工作，实现环保形势稳步提升。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5.通过开展基层党建带团建工作，带动团组织建设。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及时开展多种形式的党性教育活动和业务培训活动，活动次数不低于15次，参加人数不低于20人，按照绩效考核标准对党建团建工作进行考核，提高党建团建工作水平，建立长效机制，推动建立广泛覆盖、富有活力的基层组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6.通过开展贫困户帮扶工作，提高贫困户生活质量。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绩效目标：通过实施建档立卡贫困户帮扶项目，改善贫困户在日常生活，解决实际困难，最终实现贫困户不愁吃、不愁穿、保障子女义务教育、基本医疗、保障住房目标。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对16户建档立卡贫困户及时有效发放慰问资金，全年慰问金金额不低于2000元，建立长效机制，使贫困户生活质量有效提高，实现贫困户家庭收入有效增长，使贫困户对政府扶贫工作达到满意，提升贫困户家庭幸福感。</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7.通过开展退役军人服务工作，切实维护退役军人合法利益。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绩效目标：切实维护好退役军人合法权益，成立退役军人服务站，保证机构、人员、经费，切实把广大退役军人工作和生活保障好，激励他们为改革发展和社会稳定作出积极贡献。</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8.通过开展信访维稳工作，切实维护群众合法权益。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绩效目标：通过信访维稳隐患大排查，逐案落实化解和稳控措施，减少非访和突发性群体访事件，建立健全运行保障机制，确保全镇信访形势平稳。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绩效指标：通过开展信访维稳工作，及时有效的了解和解决信访群众的难处，全年解决信访问题不低于50个，了解一起，解决一起，切实维护了人民的合法权益，提升了社会稳定水平。</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9.通过开展园区基础设施配套补助，提高发展承载力。</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绩效目标：通过对镇区内改善企业聚集区道路交通、完善供水供电系统、加强园林绿化，完善企业聚集区基础设施建设，增强发展承载力，打造企业聚集区亮点。</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绩效指标：通过项目的开展企业聚集区内基础设施建设较去年有明显改善，使企业聚集区综合实力进一步提升。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10.通过开展坑塘及沟渠废水治理修复项目，提高区域内水环境质量。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绩效目标：通过对镇区内坑塘及沟渠废水治理修复实现全天候达标排放的最终目标，改善区域水环境质量，提高区域内人民生活质量，减少污水污染对社会造成的经济损失。</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绩效指标：通过项目的开展按期完成对坑塘污水的治理，及时对坑塘水质进行检测，达到（GB8978-1996）中一级标准，实现水生态环境的改善，提高人民健康水平。</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11.通过工程监理使坑塘及沟渠废水治理修复项目工程施工质量控制能到加强，责任划分明晰、规范。</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坑塘及沟渠废水治理修复项目工程监理使坑塘及沟渠废水治理修复项目工程施工质量控制能到加强，责任划分明晰、规范，最终实现水生态环境的改善，提高人民健康水平，建立坑塘治理长效管理机制。</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绩效指标：鉴于坑塘及沟渠废水治理修复项目已验收竣工，2022年由项目负责人发起资金拨付申请，单位按照财政拨付资金情况进行项目结款，保障项目资金及时拨付到位，按期完成工作计划。</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12.通过创建人大代表联络站，方便代表联系群众，拉近代表与群众的距离，提升辖区社会稳定水平。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联系辖区内的人民代表大会代表、组织代表开展活动，使人大工作正常运行,为群众解决了大量最关心、最直接、最现实的问题的同时，进一步拉近了人大代表和群众之间的距离，有效促进了基层社会的和谐稳定</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绩效指标：通过按期举办代表接待日活动和代表小组活动，人达代表参与率达到90%，选民覆盖率100%，提高人民满意度。</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13.通过开展乡镇武装部武装工作，进一步扎实推进镇村武装工作，全面提升基层武装工作建设水平。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组织开展国防教育，增强适龄青年依法参加民兵预备役部队组织、履行国防义务的自觉性。规范民兵整组，调整和改进民兵组织建设。有序做好兵役登记，扎实抓好年度征兵工作重点抓好征兵工作。加强村级民兵连营部规范化建设，严格抓好民兵军事训练，全面提高应急迎战能力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绩效指标：通过开展乡镇武装部武装工作，确保民兵训练人数，在规定时间内完成符合上级部门训练要求的训练工作。提高国防宣传、征兵工作知晓率。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14.通过开展基层宗教事务管理工作，指导、帮助和支持宗教团体加强自身的思想、组织、制度等方面的建设。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按照保护合法、制止非法、遏制极端、抵御渗透、打击犯罪的原则，依法加强对宗教事务的管理，不断深化宗教系统治理，坚决防范化解宗教领域的重大风险隐患，引导宗教更好与社会主义社会相适应。</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绩效指标：全面贯彻、落实党的宗教政策、法规，依法保护宗教界的合法权益，做好道教、天主教、基督教等方面的工作，开展宗教政策法规的培训工作，提高宗教工作队伍的整体素质。</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15.通过供电线路改造工程，解决当前项目用电需求的燃眉之急，满足新上项目用电需求。</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绩效目标：缓解园区用电紧缺问题，支撑新上项目和扩产计划，完善工业园区基础设施建设，为园区招商引资工作搭建一个好的平台，提升留各庄镇整体形象，促进区域经济发展，增加地区财政收入。</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绩效指标：解决当前项目用电需求的燃眉之急，满足新上项目用电需求；按照财政拨付资金情况进行项目结款，保障项目资金及时拨付到位，按期完成工作计划。</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ascii="仿宋" w:hAnsi="仿宋" w:eastAsia="仿宋"/>
          <w:b/>
        </w:rPr>
      </w:pPr>
      <w:r>
        <w:rPr>
          <w:rFonts w:hint="eastAsia" w:ascii="仿宋" w:hAnsi="仿宋" w:eastAsia="仿宋"/>
          <w:b/>
          <w:lang w:val="en-US" w:eastAsia="zh-CN"/>
        </w:rPr>
        <w:t>1.</w:t>
      </w:r>
      <w:r>
        <w:rPr>
          <w:rFonts w:ascii="仿宋" w:hAnsi="仿宋" w:eastAsia="仿宋"/>
          <w:b/>
        </w:rPr>
        <w:t>完善制度建设。</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ascii="仿宋" w:hAnsi="仿宋" w:eastAsia="仿宋"/>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制定并完善《大城县留各庄镇人民政府内部控制管理手册》、《大城县留各庄镇人民政府预算绩效管理制度》。并完善资金管理办法、工作保障措施等，为全年预算绩效目标的实现奠定制度基础。</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ascii="仿宋" w:hAnsi="仿宋" w:eastAsia="仿宋"/>
          <w:b/>
        </w:rPr>
      </w:pPr>
      <w:r>
        <w:rPr>
          <w:rFonts w:ascii="仿宋" w:hAnsi="仿宋" w:eastAsia="仿宋"/>
          <w:b/>
        </w:rPr>
        <w:t xml:space="preserve">    </w:t>
      </w:r>
      <w:r>
        <w:rPr>
          <w:rFonts w:hint="eastAsia" w:ascii="仿宋" w:hAnsi="仿宋" w:eastAsia="仿宋"/>
          <w:b/>
          <w:lang w:val="en-US" w:eastAsia="zh-CN"/>
        </w:rPr>
        <w:t>2.</w:t>
      </w:r>
      <w:r>
        <w:rPr>
          <w:rFonts w:ascii="仿宋" w:hAnsi="仿宋" w:eastAsia="仿宋"/>
          <w:b/>
        </w:rPr>
        <w:t>加强支出管理。</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ascii="仿宋" w:hAnsi="仿宋" w:eastAsia="仿宋"/>
        </w:rPr>
      </w:pPr>
      <w:r>
        <w:rPr>
          <w:rFonts w:ascii="仿宋" w:hAnsi="仿宋" w:eastAsia="仿宋"/>
        </w:rPr>
        <w:t xml:space="preserve">    通</w:t>
      </w:r>
      <w:r>
        <w:rPr>
          <w:rFonts w:hint="eastAsia" w:ascii="Times New Roman" w:hAnsi="Times New Roman" w:eastAsia="仿宋_GB2312" w:cs="Times New Roman"/>
          <w:kern w:val="2"/>
          <w:sz w:val="32"/>
          <w:szCs w:val="32"/>
          <w:lang w:val="en-US" w:eastAsia="zh-CN" w:bidi="ar-SA"/>
        </w:rPr>
        <w:t>过优化支出结构、编细编实预算、加快履行政府采购手续、尽快启动项目、及时支付资金、6 月底前细化代编预算、按规定及时下达资金等多种措施，确保支出进度达标。</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ascii="仿宋" w:hAnsi="仿宋" w:eastAsia="仿宋"/>
          <w:b/>
        </w:rPr>
      </w:pPr>
      <w:r>
        <w:rPr>
          <w:rFonts w:ascii="仿宋" w:hAnsi="仿宋" w:eastAsia="仿宋"/>
          <w:b/>
        </w:rPr>
        <w:t xml:space="preserve">   </w:t>
      </w:r>
      <w:r>
        <w:rPr>
          <w:rFonts w:hint="eastAsia" w:ascii="仿宋" w:hAnsi="仿宋" w:eastAsia="仿宋"/>
          <w:b/>
          <w:lang w:val="en-US" w:eastAsia="zh-CN"/>
        </w:rPr>
        <w:t xml:space="preserve"> 3.</w:t>
      </w:r>
      <w:r>
        <w:rPr>
          <w:rFonts w:ascii="仿宋" w:hAnsi="仿宋" w:eastAsia="仿宋"/>
          <w:b/>
        </w:rPr>
        <w:t>加强绩效运行监控。</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Times New Roman" w:hAnsi="Times New Roman" w:eastAsia="仿宋_GB2312" w:cs="Times New Roman"/>
          <w:kern w:val="2"/>
          <w:sz w:val="32"/>
          <w:szCs w:val="32"/>
          <w:lang w:val="en-US" w:eastAsia="zh-CN" w:bidi="ar-SA"/>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按要求开展绩效运行监控，发现问题及时采取措施，确保绩效目标如期保质实现。</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ascii="仿宋" w:hAnsi="仿宋" w:eastAsia="仿宋"/>
        </w:rPr>
      </w:pPr>
      <w:r>
        <w:rPr>
          <w:rFonts w:ascii="仿宋" w:hAnsi="仿宋" w:eastAsia="仿宋"/>
          <w:b/>
        </w:rPr>
        <w:t xml:space="preserve">    </w:t>
      </w:r>
      <w:r>
        <w:rPr>
          <w:rFonts w:hint="eastAsia" w:ascii="仿宋" w:hAnsi="仿宋" w:eastAsia="仿宋"/>
          <w:b/>
          <w:lang w:val="en-US" w:eastAsia="zh-CN"/>
        </w:rPr>
        <w:t>4.</w:t>
      </w:r>
      <w:r>
        <w:rPr>
          <w:rFonts w:ascii="仿宋" w:hAnsi="仿宋" w:eastAsia="仿宋"/>
          <w:b/>
        </w:rPr>
        <w:t>做好绩效自评。</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Times New Roman" w:hAnsi="Times New Roman" w:eastAsia="仿宋_GB2312" w:cs="Times New Roman"/>
          <w:kern w:val="2"/>
          <w:sz w:val="32"/>
          <w:szCs w:val="32"/>
          <w:lang w:val="en-US" w:eastAsia="zh-CN" w:bidi="ar-SA"/>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ascii="仿宋" w:hAnsi="仿宋" w:eastAsia="仿宋"/>
          <w:b/>
          <w:sz w:val="32"/>
        </w:rPr>
      </w:pPr>
      <w:r>
        <w:rPr>
          <w:rFonts w:ascii="仿宋" w:hAnsi="仿宋" w:eastAsia="仿宋"/>
          <w:b/>
          <w:sz w:val="32"/>
        </w:rPr>
        <w:t xml:space="preserve">  </w:t>
      </w:r>
      <w:r>
        <w:rPr>
          <w:rFonts w:hint="eastAsia" w:ascii="仿宋" w:hAnsi="仿宋" w:eastAsia="仿宋"/>
          <w:b/>
          <w:sz w:val="32"/>
          <w:lang w:val="en-US" w:eastAsia="zh-CN"/>
        </w:rPr>
        <w:t xml:space="preserve"> </w:t>
      </w:r>
      <w:r>
        <w:rPr>
          <w:rFonts w:ascii="仿宋" w:hAnsi="仿宋" w:eastAsia="仿宋"/>
          <w:b/>
          <w:sz w:val="32"/>
        </w:rPr>
        <w:t xml:space="preserve"> </w:t>
      </w:r>
      <w:r>
        <w:rPr>
          <w:rFonts w:hint="eastAsia" w:ascii="仿宋" w:hAnsi="仿宋" w:eastAsia="仿宋"/>
          <w:b/>
          <w:sz w:val="32"/>
          <w:lang w:val="en-US" w:eastAsia="zh-CN"/>
        </w:rPr>
        <w:t>5.</w:t>
      </w:r>
      <w:r>
        <w:rPr>
          <w:rFonts w:ascii="仿宋" w:hAnsi="仿宋" w:eastAsia="仿宋"/>
          <w:b/>
          <w:sz w:val="32"/>
        </w:rPr>
        <w:t>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Times New Roman" w:hAnsi="Times New Roman" w:eastAsia="仿宋_GB2312" w:cs="Times New Roman"/>
          <w:kern w:val="2"/>
          <w:sz w:val="32"/>
          <w:szCs w:val="32"/>
          <w:lang w:val="en-US" w:eastAsia="zh-CN" w:bidi="ar-SA"/>
        </w:rPr>
      </w:pPr>
      <w:r>
        <w:rPr>
          <w:rFonts w:ascii="仿宋" w:hAnsi="仿宋" w:eastAsia="仿宋"/>
          <w:sz w:val="32"/>
        </w:rPr>
        <w:t xml:space="preserve">   </w:t>
      </w:r>
      <w:r>
        <w:rPr>
          <w:rFonts w:hint="eastAsia" w:ascii="Times New Roman" w:hAnsi="Times New Roman" w:eastAsia="仿宋_GB2312" w:cs="Times New Roman"/>
          <w:kern w:val="2"/>
          <w:sz w:val="32"/>
          <w:szCs w:val="32"/>
          <w:lang w:val="en-US" w:eastAsia="zh-CN" w:bidi="ar-SA"/>
        </w:rPr>
        <w:t xml:space="preserve"> 完善财务管理制度，严格审批程序，加强固定资产登记、使用和报废处置管理，做到支出合理，物尽其用。</w:t>
      </w: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ascii="仿宋" w:hAnsi="仿宋" w:eastAsia="仿宋"/>
        </w:rPr>
      </w:pPr>
      <w:r>
        <w:rPr>
          <w:rFonts w:hint="eastAsia" w:ascii="仿宋" w:hAnsi="仿宋" w:eastAsia="仿宋"/>
          <w:b/>
          <w:lang w:val="en-US" w:eastAsia="zh-CN"/>
        </w:rPr>
        <w:t>6.</w:t>
      </w:r>
      <w:r>
        <w:rPr>
          <w:rFonts w:ascii="仿宋" w:hAnsi="仿宋" w:eastAsia="仿宋"/>
          <w:b/>
        </w:rPr>
        <w:t>加强内部监督。</w:t>
      </w: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ascii="仿宋" w:hAnsi="仿宋" w:eastAsia="仿宋"/>
          <w:b/>
        </w:rPr>
      </w:pPr>
      <w:r>
        <w:rPr>
          <w:rFonts w:hint="eastAsia" w:ascii="仿宋" w:hAnsi="仿宋" w:eastAsia="仿宋"/>
          <w:b/>
          <w:lang w:val="en-US" w:eastAsia="zh-CN"/>
        </w:rPr>
        <w:t>7.</w:t>
      </w:r>
      <w:r>
        <w:rPr>
          <w:rFonts w:ascii="仿宋" w:hAnsi="仿宋" w:eastAsia="仿宋"/>
          <w:b/>
        </w:rPr>
        <w:t>加强宣传培训调研等。</w:t>
      </w: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加强人员培训，提高本部门职工业务素质；加强调研，提出优化财政资金配置、提高资金使用效益的意见；加大宣传力度，强化预算绩效管理意识，促进预算绩效管理水平进一步提升。</w:t>
      </w: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2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2015"/>
        <w:gridCol w:w="2235"/>
        <w:gridCol w:w="2880"/>
        <w:gridCol w:w="930"/>
        <w:gridCol w:w="780"/>
        <w:gridCol w:w="108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2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9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2015" w:type="dxa"/>
            <w:vMerge w:val="continue"/>
            <w:tcBorders>
              <w:tl2br w:val="nil"/>
              <w:tr2bl w:val="nil"/>
            </w:tcBorders>
            <w:vAlign w:val="center"/>
          </w:tcPr>
          <w:p/>
        </w:tc>
        <w:tc>
          <w:tcPr>
            <w:tcW w:w="2235" w:type="dxa"/>
            <w:vMerge w:val="continue"/>
            <w:tcBorders>
              <w:tl2br w:val="nil"/>
              <w:tr2bl w:val="nil"/>
            </w:tcBorders>
            <w:vAlign w:val="center"/>
          </w:tcPr>
          <w:p/>
        </w:tc>
        <w:tc>
          <w:tcPr>
            <w:tcW w:w="2880" w:type="dxa"/>
            <w:vMerge w:val="continue"/>
            <w:tcBorders>
              <w:tl2br w:val="nil"/>
              <w:tr2bl w:val="nil"/>
            </w:tcBorders>
            <w:vAlign w:val="center"/>
          </w:tcPr>
          <w:p/>
        </w:tc>
        <w:tc>
          <w:tcPr>
            <w:tcW w:w="9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5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19"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2022年度主要项目</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工作数量</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2022年度至少开展15个主要项目工作</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反映2022年全镇在信访、环境治理等方面的项目数量</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15</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个</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0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各项主要工作开展</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落实率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各项主要工作全部得到落实</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反映全镇各项主要工作开展</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落实率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95</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项目经费保障及时性</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按项目进度及时拨付</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项目资金</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反映项目经费拨付的及时性</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按项目进度及时拨付</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预算资金成本控制率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合理安排预算资金支出</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反映按照预算安排合理安排</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资金支出</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1967.68</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万元</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社会稳定水平</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政府工作开展利于社会稳定水平的提高</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反映政府工作对于社会稳定的影响</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利于社会</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稳定</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rPr>
              <w:t>全镇经济稳步提升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政府工作开展利于镇区经济提升</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反映全镇经济稳步提升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稳步提升</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镇区生态环境改善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提升</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政府工作有利于镇区生态</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环境改善提升</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反映镇区生态环境改善提升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显著提升</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满意度</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社会公众对政府工作的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满意度</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提高社会公众对政府</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工作的满意度</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反映社会公众对政府工作的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满意度</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90</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实际调查</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2" w:firstLineChars="200"/>
        <w:jc w:val="left"/>
        <w:outlineLvl w:val="1"/>
        <w:rPr>
          <w:rFonts w:ascii="Times New Roman" w:hAnsi="Times New Roman" w:eastAsia="仿宋_GB2312" w:cs="Times New Roman"/>
          <w:b/>
          <w:bCs/>
          <w:sz w:val="28"/>
        </w:rPr>
      </w:pPr>
      <w:r>
        <w:rPr>
          <w:rFonts w:ascii="Times New Roman" w:hAnsi="Times New Roman" w:eastAsia="仿宋_GB2312" w:cs="Times New Roman"/>
          <w:b/>
          <w:bCs/>
          <w:sz w:val="28"/>
        </w:rPr>
        <w:t>1.</w:t>
      </w:r>
      <w:r>
        <w:rPr>
          <w:rFonts w:hint="eastAsia" w:ascii="Times New Roman" w:hAnsi="Times New Roman" w:eastAsia="仿宋_GB2312" w:cs="Times New Roman"/>
          <w:b/>
          <w:bCs/>
          <w:sz w:val="28"/>
          <w:lang w:val="en-US" w:eastAsia="zh-CN"/>
        </w:rPr>
        <w:t>2022年安监经费项目</w:t>
      </w:r>
      <w:r>
        <w:rPr>
          <w:rFonts w:ascii="Times New Roman" w:hAnsi="Times New Roman" w:eastAsia="仿宋_GB2312" w:cs="Times New Roman"/>
          <w:b/>
          <w:bCs/>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825"/>
        <w:gridCol w:w="3224"/>
        <w:gridCol w:w="1306"/>
        <w:gridCol w:w="1302"/>
        <w:gridCol w:w="1578"/>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13102522P00892710002P</w:t>
            </w:r>
            <w:r>
              <w:rPr>
                <w:rFonts w:hint="eastAsia" w:ascii="宋体" w:hAnsi="宋体" w:eastAsia="宋体" w:cs="宋体"/>
                <w:sz w:val="18"/>
                <w:szCs w:val="18"/>
                <w:lang w:val="en-US" w:eastAsia="zh-CN"/>
              </w:rPr>
              <w:t xml:space="preserve">  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sz w:val="18"/>
                <w:szCs w:val="18"/>
                <w:lang w:val="en-US" w:eastAsia="zh-CN"/>
              </w:rPr>
              <w:t>10</w:t>
            </w:r>
            <w:r>
              <w:rPr>
                <w:rFonts w:hint="eastAsia" w:ascii="宋体" w:hAnsi="宋体" w:cs="宋体"/>
                <w:sz w:val="18"/>
                <w:szCs w:val="18"/>
                <w:lang w:val="en-US" w:eastAsia="zh-CN"/>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i w:val="0"/>
                <w:caps w:val="0"/>
                <w:color w:val="000000"/>
                <w:spacing w:val="0"/>
                <w:sz w:val="18"/>
                <w:szCs w:val="18"/>
              </w:rPr>
              <w:t>解决镇区内部分企业存在的安全隐患及食品药品安全问题等，确保有效降低安全生产事故及日常食品药品安全事故发生率，创造一个安全的生产生活环境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3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实现镇区内企业安全生产意识、安全生产验收达标率、安全隐患整改率的提高,达到主管部门整体要求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3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3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巡查次数</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反映年度巡查次数</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48.00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次</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整改后安全生产标准达标率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整改后企业安全生产的达标率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事故处理及时率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反映事故处理及时率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w:t>
            </w:r>
          </w:p>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控制量</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反映项目预算经费控制量</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生产经营单位安全隐患整改率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反映已整改隐患占执法发现隐患总数的比率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95.00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可持续影响</w:t>
            </w:r>
          </w:p>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长期影响性</w:t>
            </w:r>
          </w:p>
        </w:tc>
        <w:tc>
          <w:tcPr>
            <w:tcW w:w="32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反映企业安全生产行为是否长期改善</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p>
        </w:tc>
        <w:tc>
          <w:tcPr>
            <w:tcW w:w="15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改善</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社会公众满意度</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社会公众满意度</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bl>
    <w:p>
      <w:pPr>
        <w:ind w:firstLine="562"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b/>
          <w:bCs/>
          <w:sz w:val="28"/>
          <w:lang w:val="en-US" w:eastAsia="zh-CN"/>
        </w:rPr>
        <w:t>2.2022年妇联基层组织建设经费项目绩效目标表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8"/>
        <w:gridCol w:w="2088"/>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13102522P00892910001F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通过</w:t>
            </w:r>
            <w:r>
              <w:rPr>
                <w:rFonts w:hint="eastAsia" w:ascii="宋体" w:hAnsi="宋体" w:eastAsia="宋体" w:cs="宋体"/>
                <w:b w:val="0"/>
                <w:i w:val="0"/>
                <w:caps w:val="0"/>
                <w:color w:val="000000"/>
                <w:spacing w:val="0"/>
                <w:sz w:val="18"/>
                <w:szCs w:val="18"/>
                <w:lang w:eastAsia="zh-CN"/>
              </w:rPr>
              <w:t>按期</w:t>
            </w:r>
            <w:r>
              <w:rPr>
                <w:rFonts w:hint="eastAsia" w:ascii="宋体" w:hAnsi="宋体" w:eastAsia="宋体" w:cs="宋体"/>
                <w:b w:val="0"/>
                <w:i w:val="0"/>
                <w:caps w:val="0"/>
                <w:color w:val="000000"/>
                <w:spacing w:val="0"/>
                <w:sz w:val="18"/>
                <w:szCs w:val="18"/>
              </w:rPr>
              <w:t>开展相关妇联培训</w:t>
            </w:r>
            <w:r>
              <w:rPr>
                <w:rFonts w:hint="eastAsia" w:ascii="宋体" w:hAnsi="宋体" w:eastAsia="宋体" w:cs="宋体"/>
                <w:b w:val="0"/>
                <w:i w:val="0"/>
                <w:caps w:val="0"/>
                <w:color w:val="000000"/>
                <w:spacing w:val="0"/>
                <w:sz w:val="18"/>
                <w:szCs w:val="18"/>
                <w:lang w:eastAsia="zh-CN"/>
              </w:rPr>
              <w:t>、“春蕾计划”</w:t>
            </w:r>
            <w:r>
              <w:rPr>
                <w:rFonts w:hint="eastAsia" w:ascii="宋体" w:hAnsi="宋体" w:cs="宋体"/>
                <w:b w:val="0"/>
                <w:i w:val="0"/>
                <w:caps w:val="0"/>
                <w:color w:val="000000"/>
                <w:spacing w:val="0"/>
                <w:sz w:val="18"/>
                <w:szCs w:val="18"/>
                <w:lang w:eastAsia="zh-CN"/>
              </w:rPr>
              <w:t>、</w:t>
            </w:r>
            <w:r>
              <w:rPr>
                <w:rFonts w:hint="eastAsia" w:ascii="宋体" w:hAnsi="宋体" w:cs="宋体"/>
                <w:b w:val="0"/>
                <w:i w:val="0"/>
                <w:caps w:val="0"/>
                <w:color w:val="000000"/>
                <w:spacing w:val="0"/>
                <w:sz w:val="18"/>
                <w:szCs w:val="18"/>
                <w:lang w:val="en-US" w:eastAsia="zh-CN"/>
              </w:rPr>
              <w:t>妇女之家建设</w:t>
            </w:r>
            <w:r>
              <w:rPr>
                <w:rFonts w:hint="eastAsia" w:ascii="宋体" w:hAnsi="宋体" w:eastAsia="宋体" w:cs="宋体"/>
                <w:b w:val="0"/>
                <w:i w:val="0"/>
                <w:caps w:val="0"/>
                <w:color w:val="000000"/>
                <w:spacing w:val="0"/>
                <w:sz w:val="18"/>
                <w:szCs w:val="18"/>
                <w:lang w:eastAsia="zh-CN"/>
              </w:rPr>
              <w:t>等工作，提升妇女干部谋划工作、服务发展的能力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立足镇区内妇联基层组织建设现有基础，将妇联的组织工作向全镇域延伸，探索多种形式、各种特色的组织模式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镇区内妇女之家的数量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反映镇区内妇女之家的数量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开展活动质量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反映开展活动质量达标率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培训计划按期完成情况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反映培训计划按期完成情况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对社会的影响情况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反映社会对妇女能力评价的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影响情况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妇女后备干部队伍建设</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反映妇女后备干部队伍建设情况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3.2022年环保经费项目绩效目标表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13102522P00892810002D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通过环保巡查、制作宣传条幅、雇佣机械，进行环保宣传、巡查、雇佣机械对少数散乱污等不符合规定的企业进行清理</w:t>
            </w:r>
            <w:r>
              <w:rPr>
                <w:rFonts w:hint="eastAsia"/>
                <w:sz w:val="18"/>
                <w:szCs w:val="18"/>
                <w:lang w:eastAsia="zh-CN"/>
              </w:rPr>
              <w:t>，</w:t>
            </w:r>
            <w:r>
              <w:rPr>
                <w:rFonts w:hint="eastAsia"/>
                <w:sz w:val="18"/>
                <w:szCs w:val="18"/>
              </w:rPr>
              <w:t>保证环保工作有序开展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检查企业生产，最大限度地发现、纠正、督促企业消除各类违法排污，预防和减少环境污染，实现全年优良天气数量增加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遏制少数散乱污经营户，促进乡镇环保形势持续稳定好转，使全镇企业经营安全、规范有序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工业固体废物处置率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反映处置及综合利用的工业固体</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废物的比率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巡查企业合格率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反映巡查企业中合格企业的比率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95.00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工作目标按计划</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反映工作目标按计划的完成情况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生态效益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全年优良天气数量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增长率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全年优良天气数量较去年的增长率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环保设施使用年限</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反映相关环保设施使用年限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6.00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4.2022年基层党建团建工作经费项目绩效目标表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13102522P00893010001K  2022年基层党建团建工作经费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通过定期开展教育与培训工作，注重青年人才的培养使用，重视对党员的综合素质以及道德素养提升，推动建立广泛覆盖、富有活力的基层组织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解决实际工作中存在的党团组织联系不紧密，活动开展较少，团干部队伍建设缺乏活力，缺乏干部培养、教育培训的问题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充分认识加强党建带团建工作的重要性和紧迫性，通过强化党建工作，创新团组织设置形式和组织活动方式，不断适应党建带团建的新要求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开展党性教育次数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反映本年度开展党性教育的次数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12.00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次</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党建团建工作考核</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反映党建团建工作考核合格率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党建团建活动的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完成及时率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反映党建团建活动的完成及时率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党建团建工作社会影响</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反映群众对党建团建工作的评价</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党团后备干部建设</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反映党团后备干部队伍建设情况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5.2022年建档立卡脱贫户生产生活补助金项目绩效目标表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13102522P00892610001E  2022年建档立卡脱贫户生产生活补助金</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留各庄镇扶贫帮扶建档立卡贫困户共16户，按照每个贫困户2000元标准，用于贫困户帮扶慰问，发放慰问金和慰问品，改善日常生活条件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通过对镇区内16户建档立卡贫困户按照2000元标准及时有效发放帮扶资金，有效改善贫困户日常生活，实现贫困户家庭收入有效增</w:t>
            </w:r>
            <w:r>
              <w:rPr>
                <w:rFonts w:hint="eastAsia" w:ascii="宋体" w:hAnsi="宋体" w:eastAsia="宋体" w:cs="宋体"/>
                <w:sz w:val="18"/>
                <w:szCs w:val="18"/>
                <w:lang w:val="en-US" w:eastAsia="zh-CN"/>
              </w:rPr>
              <w:t>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实现贫困户不愁吃、不愁穿，保障子女义务教育、基本医疗和住房目标，最终实现贫困稳定退出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扶助户数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年度内享受帮扶扶助户数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16.00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户</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贫困户生活质量达标率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反映贫困户生活质量达标率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扶助资金按期发放的及时性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反映实际到位扶助资金的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贫困户慰问金发放</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标准</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反映贫困户慰问金发放标准</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元/户</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扶贫帮扶工作对镇区社会安定情况的影响</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扶贫帮扶工作对镇区社会</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安定情况的影响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有利于镇区稳定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扶贫帮扶是否长期满足贫困户的需求</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反映扶贫帮扶是否能够长期满足贫困户的需求</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满足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受益群众满意度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受益群众满意度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6.2022年坑塘及沟渠废水治理修复项目监理资金项目绩效目标表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13102522P008941100024  2022年坑塘及沟渠废水治理修复项目监理资金</w:t>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28.50万元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2017年底坑塘及沟渠废水治理修复项目开始实施，委托廊坊金辉工程项目管理有限公司对施工过程进行监，2019年1月项目通过验收。依据监理合同2019年已拨付35万元，2022年预计拨付尾款28.5万元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鉴于坑塘及沟渠废水治理修复项目已验收竣工，2022年由项目负责人发起资金拨付申请，单位按照财政拨付资金情况进行项目结款，保障项目资金及时拨付到位，按期完成工作计划</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28.50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水生态环境改善情况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反映水生态环境改善情况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长期影响性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反映生态环境改善的长期</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7.2022年坑塘及沟渠废水治理修复项目绩效目标表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13102522P00893910002A  2022年坑塘及沟渠废水治理修复项目</w:t>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坑塘及沟渠废水治理修复项目，包括污水处理、土建设计、污水管路、竣工验收等。现项目已经全部竣工，区域水环境质量明显改善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鉴于2018年项目已验收竣工，2022年由项目负责人发起资金拨付申请，单位按照财政拨付资金情况进行项目结款，保障项目资金及时拨付到位，按期完成工作计划</w:t>
            </w:r>
            <w:r>
              <w:rPr>
                <w:rFonts w:hint="eastAsia" w:ascii="宋体" w:hAnsi="宋体" w:eastAsia="宋体" w:cs="宋体"/>
                <w:b w:val="0"/>
                <w:i w:val="0"/>
                <w:caps w:val="0"/>
                <w:color w:val="000000"/>
                <w:spacing w:val="0"/>
                <w:sz w:val="18"/>
                <w:szCs w:val="18"/>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rPr>
              <w:tab/>
            </w:r>
            <w:r>
              <w:rPr>
                <w:rFonts w:hint="eastAsia"/>
              </w:rPr>
              <w:tab/>
            </w:r>
            <w:r>
              <w:rPr>
                <w:rFonts w:hint="eastAsia"/>
              </w:rPr>
              <w:tab/>
            </w:r>
            <w:r>
              <w:rPr>
                <w:rFonts w:hint="eastAsia"/>
              </w:rPr>
              <w:tab/>
            </w:r>
            <w:r>
              <w:rPr>
                <w:rFonts w:hint="eastAsi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水生态环境改善情况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反映水生态环境改善情况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长期影响性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反映生态环境改善的长期影响性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8.2022年留各庄镇供电线路改造项目绩效目标表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1815"/>
        <w:gridCol w:w="3254"/>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 xml:space="preserve">13102522P00894210002R  </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2022年留各庄镇供电线路改造项目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为解决华美高端橡塑项目投产的用电需要，需要新建一条10千伏供电线路，从留各庄110千伏变电站引出，线路全长9.22千米，预算投资340万元，2022年预算安排100万元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缓解园区用电紧缺问题，支撑新上项目和扩产计划，完善工业园区基础设施建设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为园区招商引资工作搭建一个好的平台，提升留各庄镇整体形象，促进区域经济发展，增加地区财政收入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2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供电线路全程</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工程量长度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反映供电线路全程工程量长度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千米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规划设计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社会效益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经济效益指标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项目建设是否促进镇区经济发展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反映项目建设对镇区经济的影响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促进经济发展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长期影响性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反映供电线路建设的长期影响性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9.2022年农村环境整治项目绩效目标表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1815"/>
        <w:gridCol w:w="3254"/>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13102522P00893510002K  2022年农村环境整治</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lang w:eastAsia="zh-CN"/>
              </w:rPr>
              <w:t>通过悬挂条幅、发放彩页和手册等形式进行环保宣传；通过租赁挖土机、运输车和雇佣人工等方式开展农村环境清理工作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提高群众环境保护意识，使环境质量明显改善，争取环境质量100%达标，持镇区环境卫生、整洁，建立农村环境治理长效管理机制</w:t>
            </w:r>
            <w:r>
              <w:rPr>
                <w:rFonts w:hint="eastAsia" w:ascii="宋体" w:hAnsi="宋体" w:eastAsia="宋体" w:cs="宋体"/>
                <w:sz w:val="18"/>
                <w:szCs w:val="18"/>
              </w:rPr>
              <w:tab/>
            </w:r>
            <w:r>
              <w:rPr>
                <w:rFonts w:hint="eastAsia" w:ascii="宋体" w:hAnsi="宋体" w:eastAsia="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sz w:val="18"/>
                <w:szCs w:val="18"/>
                <w:lang w:eastAsia="zh-CN"/>
              </w:rPr>
              <w:t>增设垃圾处理点数量，保障每个村街垃圾处理点数量不少于</w:t>
            </w:r>
            <w:r>
              <w:rPr>
                <w:rFonts w:hint="eastAsia" w:ascii="宋体" w:hAnsi="宋体" w:eastAsia="宋体" w:cs="宋体"/>
                <w:sz w:val="18"/>
                <w:szCs w:val="18"/>
                <w:lang w:val="en-US" w:eastAsia="zh-CN"/>
              </w:rPr>
              <w:t>1个，</w:t>
            </w:r>
            <w:r>
              <w:rPr>
                <w:rFonts w:hint="eastAsia" w:ascii="宋体" w:hAnsi="宋体" w:eastAsia="宋体" w:cs="宋体"/>
                <w:sz w:val="18"/>
                <w:szCs w:val="18"/>
              </w:rPr>
              <w:t>使镇区内垃圾及时有效处理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2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排查垃圾处理点</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反映排查村街垃圾处理点的数量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39.00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规划设计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环境质量达标率</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反映环境质量达标率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农村环境整治工作完成时间</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反映农村环境整治工作完成时间</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2022年底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控制量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反映项目预算成本控制量情况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60.00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社会效益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农村环境提升情况</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反映农村环境提升情况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提升</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长期影响性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反映农村环境整治工作是否长期满足群众需求</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长期满足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10.2022年人大代表联络站经费项目绩效目标表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010"/>
        <w:gridCol w:w="305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13102522P00893210002J  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规范机构设置，配强工作队伍，夯实</w:t>
            </w:r>
            <w:r>
              <w:rPr>
                <w:rFonts w:hint="eastAsia"/>
                <w:sz w:val="18"/>
                <w:szCs w:val="18"/>
                <w:lang w:eastAsia="zh-CN"/>
              </w:rPr>
              <w:t>人大代表联络站</w:t>
            </w:r>
            <w:r>
              <w:rPr>
                <w:rFonts w:hint="eastAsia"/>
                <w:sz w:val="18"/>
                <w:szCs w:val="18"/>
              </w:rPr>
              <w:t>保障基础；设置专门的办公和活动场所，提升</w:t>
            </w:r>
            <w:r>
              <w:rPr>
                <w:rFonts w:hint="eastAsia"/>
                <w:sz w:val="18"/>
                <w:szCs w:val="18"/>
                <w:lang w:eastAsia="zh-CN"/>
              </w:rPr>
              <w:t>人大代表联络站</w:t>
            </w:r>
            <w:r>
              <w:rPr>
                <w:rFonts w:hint="eastAsia"/>
                <w:sz w:val="18"/>
                <w:szCs w:val="18"/>
              </w:rPr>
              <w:t>工作能力；</w:t>
            </w:r>
            <w:r>
              <w:rPr>
                <w:rFonts w:hint="eastAsia"/>
                <w:sz w:val="18"/>
                <w:szCs w:val="18"/>
                <w:lang w:val="en-US" w:eastAsia="zh-CN"/>
              </w:rPr>
              <w:t>通过人大联络站的建立，加强代表与群众之间的沟通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发挥代表作用、密切联系人民群众，听民声、惠民意、办实事，做深做实人大代表联络站各项工作，全力打通代表联系服务群众“最后一公里”，助推镇区社会事业经济发展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联络站建立个数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反映联络站建立个数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选民覆盖率</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选民覆盖率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联络站建立完成的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时限</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反映联络站建立完成的时限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2022年底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项目经费控制量</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6.00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社会稳定水平</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反映社会稳定水平</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显著提升</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联络站制度健全性</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反映联络站制度健全性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留各庄镇人大代表</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11.2022年退役军人服务站工作经费项目绩效目标表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010"/>
        <w:gridCol w:w="305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13102522P00893110002W</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 xml:space="preserve"> 2022年退役军人服务站工作经费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专门成立退役军人服务站，全面做好就业创业扶持、走访慰问、帮扶解困、信访接待、涉核人员体检、权益保障等工作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ascii="宋体" w:hAnsi="宋体" w:eastAsia="宋体" w:cs="宋体"/>
                <w:b w:val="0"/>
                <w:i w:val="0"/>
                <w:caps w:val="0"/>
                <w:color w:val="000000"/>
                <w:spacing w:val="0"/>
                <w:sz w:val="18"/>
                <w:szCs w:val="18"/>
                <w:lang w:val="en-US" w:eastAsia="zh-CN"/>
              </w:rPr>
              <w:t>帮扶退役军人次数不少于50次，及时准确的将慰问金发放到位，争取年度重大退役军人投诉事件为0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lang w:val="en-US" w:eastAsia="zh-CN"/>
              </w:rPr>
              <w:t>做好就业创业扶持、走访慰问、帮扶解困、信访接待、权益保障等工作，切实维护好退役军人合法利益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联络站建立个数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反映联络站建立个数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帮扶退役军人次数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反映帮扶退役军人次数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50.00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次</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质量指标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年度重大退役军人投诉事件</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反映年度重大退役军人投诉事件</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零</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时效指标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慰问金发放完成</w:t>
            </w:r>
          </w:p>
          <w:p>
            <w:pPr>
              <w:widowControl/>
              <w:jc w:val="center"/>
              <w:textAlignment w:val="top"/>
              <w:rPr>
                <w:rFonts w:hint="eastAsia"/>
                <w:sz w:val="18"/>
                <w:szCs w:val="18"/>
              </w:rPr>
            </w:pPr>
            <w:r>
              <w:rPr>
                <w:rFonts w:hint="eastAsia"/>
                <w:sz w:val="18"/>
                <w:szCs w:val="18"/>
              </w:rPr>
              <w:t>及时率</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反映慰问金发放完成及时率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成本指标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项目经费的控制量</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反映项目经费的控制量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社会效益指标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帮扶退役军人工作对镇区信访工作的影响</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反映帮扶退役军人工作对镇区信访工作的影响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利于信访稳定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服务对象满意度指标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社会公众满意度</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12.2022年园区基础设施配套补助项目绩效目标表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13102522P00893710002Y  2022年园区基础额设施配套补助</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80.00万元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项目资金主要用于改善</w:t>
            </w:r>
            <w:r>
              <w:rPr>
                <w:rFonts w:hint="eastAsia"/>
                <w:sz w:val="18"/>
                <w:szCs w:val="18"/>
                <w:lang w:eastAsia="zh-CN"/>
              </w:rPr>
              <w:t>企业聚集区</w:t>
            </w:r>
            <w:r>
              <w:rPr>
                <w:rFonts w:hint="eastAsia"/>
                <w:sz w:val="18"/>
                <w:szCs w:val="18"/>
              </w:rPr>
              <w:t>道路交通、完善供水供电系统、加强园林绿化</w:t>
            </w:r>
            <w:r>
              <w:rPr>
                <w:rFonts w:hint="eastAsia"/>
                <w:sz w:val="18"/>
                <w:szCs w:val="18"/>
                <w:lang w:eastAsia="zh-CN"/>
              </w:rPr>
              <w:t>，完善西留各庄村企业聚集区功能，增强发展承载力，打造企业聚集区亮点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解决西留各庄村企业聚集区基础设施部分老化、道路及排水管道网坏损、道路绿化养护等问题，发挥基础设施的作用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完善西留各庄村企业聚集区功能，增强发展承载力，打造企业聚集区亮点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80.00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基础设施改善情况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反映基础设施改善情况是否改善</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改善</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园区基础设施可使用</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持续年限</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反映园区基础设施可使用持续年限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年</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13.2022年宗教事务管理专项经费项目绩效目标表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13102522P00894310002F  2022年宗教事务管理专项经费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仿宋_GB2312" w:cs="宋体"/>
                <w:b/>
                <w:bCs/>
                <w:i w:val="0"/>
                <w:iCs w:val="0"/>
                <w:color w:val="000000"/>
                <w:kern w:val="0"/>
                <w:sz w:val="18"/>
                <w:szCs w:val="18"/>
                <w:u w:val="none"/>
                <w:lang w:val="en-US" w:eastAsia="zh-CN"/>
              </w:rPr>
            </w:pPr>
            <w:r>
              <w:rPr>
                <w:rFonts w:hint="eastAsia" w:ascii="宋体" w:hAnsi="宋体" w:eastAsia="宋体" w:cs="宋体"/>
                <w:sz w:val="18"/>
                <w:szCs w:val="18"/>
                <w:lang w:val="en-US" w:eastAsia="zh-CN"/>
              </w:rPr>
              <w:t>留各庄镇现有宗教活动场所5个，涉及道教、天主教等，教众一千余人，平时活动人员较多，资金主要用于指导、帮助和支持宗教团体加强自身的思想、组织、制度等方面的建设，及时处理民族宗教方面的突发事件和影响社会稳定的问题，维护宗教领域的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全面贯彻、落实党的宗教政策、法规，依法保护宗教界的合法权益，做好道教、伊斯兰教、天主教、基督教方面的工作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开展宗教政策法规的培训工作，提高宗教工作队伍的整体素质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宗教活动场所数量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反映项目涉及宗教场所数量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宗教事务活动质量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反映宗教事务活动质量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培训计划按期完成情况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反映培训计划按期完成情况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反映项目预算成本控制量情况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社会稳定水平</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反映社会稳定水平</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利于社会稳定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宗教工作队伍后备</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建设情况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反映宗教工作队伍后备建设情况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14.2022年乡镇武装部武装工作经费项目绩效目标表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3193"/>
        <w:gridCol w:w="1272"/>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72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13102522P00894410001H  2022年乡镇武装部武装工作经费</w:t>
            </w:r>
          </w:p>
        </w:tc>
        <w:tc>
          <w:tcPr>
            <w:tcW w:w="23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72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3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项目资金主要用于抓好民兵组织整顿、民兵训练和战备工作、双拥、兵役登记、征兵等工作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0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0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抓好民兵整组，组织预备役人员和民兵训练，加强辖区群众国防观念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做好适龄青年兵役登记和年度冬季征兵工作，提高体检政审合格率，为部队输送合格士兵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1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0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1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组织预备役人员和民兵训练次数</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反映组织预备役人员和民兵训练次数</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4.00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次</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防灾减灾活动培训</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反映防灾减灾活动培训合格率</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工作任务完成及时率</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反映工作任务完成及时率</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社会公众对征兵活动的评价</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反映社会公众对征兵活动的评价</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武装部工作制度是否</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反映武装部工作制度</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是否健全</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留各庄镇武装部工作</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6"/>
        <w:gridCol w:w="1102"/>
        <w:gridCol w:w="1486"/>
        <w:gridCol w:w="1486"/>
        <w:gridCol w:w="688"/>
        <w:gridCol w:w="880"/>
        <w:gridCol w:w="884"/>
        <w:gridCol w:w="1101"/>
        <w:gridCol w:w="1101"/>
        <w:gridCol w:w="1101"/>
        <w:gridCol w:w="1101"/>
        <w:gridCol w:w="1101"/>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tblHeader/>
          <w:jc w:val="center"/>
        </w:trPr>
        <w:tc>
          <w:tcPr>
            <w:tcW w:w="8452"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留各庄镇人民政府本级</w:t>
            </w:r>
          </w:p>
        </w:tc>
        <w:tc>
          <w:tcPr>
            <w:tcW w:w="6607"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tblHeader/>
          <w:jc w:val="center"/>
        </w:trPr>
        <w:tc>
          <w:tcPr>
            <w:tcW w:w="302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86"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86"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8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80"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84"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607"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8" w:hRule="atLeast"/>
          <w:tblHeader/>
          <w:jc w:val="center"/>
        </w:trPr>
        <w:tc>
          <w:tcPr>
            <w:tcW w:w="1926"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02"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86" w:type="dxa"/>
            <w:vMerge w:val="continue"/>
            <w:vAlign w:val="center"/>
          </w:tcPr>
          <w:p/>
        </w:tc>
        <w:tc>
          <w:tcPr>
            <w:tcW w:w="1486" w:type="dxa"/>
            <w:vMerge w:val="continue"/>
            <w:vAlign w:val="center"/>
          </w:tcPr>
          <w:p/>
        </w:tc>
        <w:tc>
          <w:tcPr>
            <w:tcW w:w="688" w:type="dxa"/>
            <w:vMerge w:val="continue"/>
            <w:vAlign w:val="center"/>
          </w:tcPr>
          <w:p/>
        </w:tc>
        <w:tc>
          <w:tcPr>
            <w:tcW w:w="880" w:type="dxa"/>
            <w:vMerge w:val="continue"/>
            <w:vAlign w:val="center"/>
          </w:tcPr>
          <w:p/>
        </w:tc>
        <w:tc>
          <w:tcPr>
            <w:tcW w:w="884" w:type="dxa"/>
            <w:vMerge w:val="continue"/>
            <w:vAlign w:val="center"/>
          </w:tcPr>
          <w:p/>
        </w:tc>
        <w:tc>
          <w:tcPr>
            <w:tcW w:w="110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0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0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0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0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02"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center"/>
              <w:rPr>
                <w:rFonts w:ascii="方正书宋_GBK" w:eastAsia="方正书宋_GBK" w:cs="Times New Roman"/>
                <w:b/>
              </w:rPr>
            </w:pPr>
          </w:p>
        </w:tc>
        <w:tc>
          <w:tcPr>
            <w:tcW w:w="1102" w:type="dxa"/>
            <w:vAlign w:val="center"/>
          </w:tcPr>
          <w:p>
            <w:pPr>
              <w:spacing w:line="300" w:lineRule="exact"/>
              <w:jc w:val="right"/>
              <w:rPr>
                <w:rFonts w:ascii="方正书宋_GBK" w:eastAsia="方正书宋_GBK" w:cs="Times New Roman"/>
                <w:b/>
              </w:rPr>
            </w:pPr>
          </w:p>
        </w:tc>
        <w:tc>
          <w:tcPr>
            <w:tcW w:w="1486" w:type="dxa"/>
            <w:vAlign w:val="center"/>
          </w:tcPr>
          <w:p>
            <w:pPr>
              <w:spacing w:line="300" w:lineRule="exact"/>
              <w:jc w:val="left"/>
              <w:rPr>
                <w:rFonts w:ascii="方正书宋_GBK" w:eastAsia="方正书宋_GBK" w:cs="Times New Roman"/>
                <w:b/>
              </w:rPr>
            </w:pPr>
          </w:p>
        </w:tc>
        <w:tc>
          <w:tcPr>
            <w:tcW w:w="1486" w:type="dxa"/>
            <w:vAlign w:val="center"/>
          </w:tcPr>
          <w:p>
            <w:pPr>
              <w:spacing w:line="300" w:lineRule="exact"/>
              <w:jc w:val="left"/>
              <w:rPr>
                <w:rFonts w:ascii="方正书宋_GBK" w:eastAsia="方正书宋_GBK" w:cs="Times New Roman"/>
                <w:b/>
              </w:rPr>
            </w:pPr>
          </w:p>
        </w:tc>
        <w:tc>
          <w:tcPr>
            <w:tcW w:w="688" w:type="dxa"/>
            <w:vAlign w:val="center"/>
          </w:tcPr>
          <w:p>
            <w:pPr>
              <w:spacing w:line="300" w:lineRule="exact"/>
              <w:jc w:val="center"/>
              <w:rPr>
                <w:rFonts w:ascii="方正书宋_GBK" w:eastAsia="方正书宋_GBK" w:cs="Times New Roman"/>
                <w:b/>
              </w:rPr>
            </w:pPr>
          </w:p>
        </w:tc>
        <w:tc>
          <w:tcPr>
            <w:tcW w:w="880" w:type="dxa"/>
            <w:vAlign w:val="center"/>
          </w:tcPr>
          <w:p>
            <w:pPr>
              <w:spacing w:line="300" w:lineRule="exact"/>
              <w:jc w:val="right"/>
              <w:rPr>
                <w:rFonts w:ascii="方正书宋_GBK" w:eastAsia="方正书宋_GBK" w:cs="Times New Roman"/>
                <w:b/>
              </w:rPr>
            </w:pPr>
          </w:p>
        </w:tc>
        <w:tc>
          <w:tcPr>
            <w:tcW w:w="884"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2"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center"/>
              <w:rPr>
                <w:rFonts w:ascii="方正书宋_GBK" w:eastAsia="方正书宋_GBK" w:cs="Times New Roman"/>
                <w:b/>
              </w:rPr>
            </w:pPr>
          </w:p>
        </w:tc>
        <w:tc>
          <w:tcPr>
            <w:tcW w:w="1102" w:type="dxa"/>
            <w:vAlign w:val="center"/>
          </w:tcPr>
          <w:p>
            <w:pPr>
              <w:spacing w:line="300" w:lineRule="exact"/>
              <w:jc w:val="right"/>
              <w:rPr>
                <w:rFonts w:ascii="方正书宋_GBK" w:eastAsia="方正书宋_GBK" w:cs="Times New Roman"/>
                <w:b/>
              </w:rPr>
            </w:pPr>
          </w:p>
        </w:tc>
        <w:tc>
          <w:tcPr>
            <w:tcW w:w="1486" w:type="dxa"/>
            <w:vAlign w:val="center"/>
          </w:tcPr>
          <w:p>
            <w:pPr>
              <w:spacing w:line="300" w:lineRule="exact"/>
              <w:jc w:val="left"/>
              <w:rPr>
                <w:rFonts w:ascii="方正书宋_GBK" w:eastAsia="方正书宋_GBK" w:cs="Times New Roman"/>
                <w:b/>
              </w:rPr>
            </w:pPr>
          </w:p>
        </w:tc>
        <w:tc>
          <w:tcPr>
            <w:tcW w:w="1486" w:type="dxa"/>
            <w:vAlign w:val="center"/>
          </w:tcPr>
          <w:p>
            <w:pPr>
              <w:spacing w:line="300" w:lineRule="exact"/>
              <w:jc w:val="left"/>
              <w:rPr>
                <w:rFonts w:ascii="方正书宋_GBK" w:eastAsia="方正书宋_GBK" w:cs="Times New Roman"/>
                <w:b/>
              </w:rPr>
            </w:pPr>
          </w:p>
        </w:tc>
        <w:tc>
          <w:tcPr>
            <w:tcW w:w="688" w:type="dxa"/>
            <w:vAlign w:val="center"/>
          </w:tcPr>
          <w:p>
            <w:pPr>
              <w:spacing w:line="300" w:lineRule="exact"/>
              <w:jc w:val="center"/>
              <w:rPr>
                <w:rFonts w:ascii="方正书宋_GBK" w:eastAsia="方正书宋_GBK" w:cs="Times New Roman"/>
                <w:b/>
              </w:rPr>
            </w:pPr>
          </w:p>
        </w:tc>
        <w:tc>
          <w:tcPr>
            <w:tcW w:w="880" w:type="dxa"/>
            <w:vAlign w:val="center"/>
          </w:tcPr>
          <w:p>
            <w:pPr>
              <w:spacing w:line="300" w:lineRule="exact"/>
              <w:jc w:val="right"/>
              <w:rPr>
                <w:rFonts w:ascii="方正书宋_GBK" w:eastAsia="方正书宋_GBK" w:cs="Times New Roman"/>
                <w:b/>
              </w:rPr>
            </w:pPr>
          </w:p>
        </w:tc>
        <w:tc>
          <w:tcPr>
            <w:tcW w:w="884"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1" w:type="dxa"/>
            <w:vAlign w:val="center"/>
          </w:tcPr>
          <w:p>
            <w:pPr>
              <w:spacing w:line="300" w:lineRule="exact"/>
              <w:jc w:val="right"/>
              <w:rPr>
                <w:rFonts w:ascii="方正书宋_GBK" w:eastAsia="方正书宋_GBK" w:cs="Times New Roman"/>
                <w:b/>
              </w:rPr>
            </w:pPr>
          </w:p>
        </w:tc>
        <w:tc>
          <w:tcPr>
            <w:tcW w:w="1102"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1926" w:type="dxa"/>
            <w:vAlign w:val="center"/>
          </w:tcPr>
          <w:p>
            <w:pPr>
              <w:spacing w:line="300" w:lineRule="exact"/>
              <w:jc w:val="lef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1486" w:type="dxa"/>
            <w:vAlign w:val="center"/>
          </w:tcPr>
          <w:p>
            <w:pPr>
              <w:spacing w:line="300" w:lineRule="exact"/>
              <w:jc w:val="left"/>
              <w:rPr>
                <w:rFonts w:ascii="方正书宋_GBK" w:eastAsia="方正书宋_GBK" w:cs="Times New Roman"/>
              </w:rPr>
            </w:pPr>
          </w:p>
        </w:tc>
        <w:tc>
          <w:tcPr>
            <w:tcW w:w="688" w:type="dxa"/>
            <w:vAlign w:val="center"/>
          </w:tcPr>
          <w:p>
            <w:pPr>
              <w:spacing w:line="300" w:lineRule="exact"/>
              <w:jc w:val="center"/>
              <w:rPr>
                <w:rFonts w:ascii="方正书宋_GBK" w:eastAsia="方正书宋_GBK" w:cs="Times New Roman"/>
              </w:rPr>
            </w:pPr>
          </w:p>
        </w:tc>
        <w:tc>
          <w:tcPr>
            <w:tcW w:w="880" w:type="dxa"/>
            <w:vAlign w:val="center"/>
          </w:tcPr>
          <w:p>
            <w:pPr>
              <w:spacing w:line="300" w:lineRule="exact"/>
              <w:jc w:val="right"/>
              <w:rPr>
                <w:rFonts w:ascii="方正书宋_GBK" w:eastAsia="方正书宋_GBK" w:cs="Times New Roman"/>
              </w:rPr>
            </w:pPr>
          </w:p>
        </w:tc>
        <w:tc>
          <w:tcPr>
            <w:tcW w:w="884"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1" w:type="dxa"/>
            <w:vAlign w:val="center"/>
          </w:tcPr>
          <w:p>
            <w:pPr>
              <w:spacing w:line="300" w:lineRule="exact"/>
              <w:jc w:val="right"/>
              <w:rPr>
                <w:rFonts w:ascii="方正书宋_GBK" w:eastAsia="方正书宋_GBK" w:cs="Times New Roman"/>
              </w:rPr>
            </w:pPr>
          </w:p>
        </w:tc>
        <w:tc>
          <w:tcPr>
            <w:tcW w:w="1102" w:type="dxa"/>
            <w:vAlign w:val="center"/>
          </w:tcPr>
          <w:p>
            <w:pPr>
              <w:spacing w:line="300" w:lineRule="exact"/>
              <w:jc w:val="right"/>
              <w:rPr>
                <w:rFonts w:ascii="方正书宋_GBK" w:eastAsia="方正书宋_GBK" w:cs="Times New Roman"/>
              </w:rPr>
            </w:pPr>
          </w:p>
        </w:tc>
      </w:tr>
    </w:tbl>
    <w:p>
      <w:pPr>
        <w:spacing w:line="584" w:lineRule="exact"/>
        <w:rPr>
          <w:rFonts w:hint="eastAsia" w:ascii="方正仿宋_GBK" w:hAnsi="方正仿宋_GBK" w:eastAsia="方正仿宋_GBK" w:cs="方正仿宋_GBK"/>
          <w:color w:val="000000"/>
          <w:lang w:eastAsia="zh-CN"/>
        </w:rPr>
      </w:pPr>
      <w:r>
        <w:rPr>
          <w:rFonts w:hint="eastAsia" w:ascii="方正仿宋_GBK" w:hAnsi="方正仿宋_GBK" w:eastAsia="方正仿宋_GBK" w:cs="方正仿宋_GBK"/>
          <w:color w:val="000000"/>
          <w:lang w:eastAsia="zh-CN"/>
        </w:rPr>
        <w:t>注：</w:t>
      </w:r>
      <w:bookmarkStart w:id="3" w:name="_GoBack"/>
      <w:bookmarkEnd w:id="3"/>
      <w:r>
        <w:rPr>
          <w:rFonts w:hint="eastAsia" w:ascii="方正仿宋_GBK" w:hAnsi="方正仿宋_GBK" w:eastAsia="方正仿宋_GBK" w:cs="方正仿宋_GBK"/>
          <w:color w:val="000000"/>
          <w:lang w:eastAsia="zh-CN"/>
        </w:rPr>
        <w:t>无部门政府采购预算，空表列示。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268.55208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无新增固定资产计划</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留各庄镇人民政府本级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268.55208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5280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188.88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33.8860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25.78608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88D0"/>
    <w:multiLevelType w:val="singleLevel"/>
    <w:tmpl w:val="C15488D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ZDRiZWM2YTk3NzliY2YxNjZhNzk1YTIxNzk1NG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210A5837"/>
    <w:rsid w:val="38F17E51"/>
    <w:rsid w:val="3D9F7A2D"/>
    <w:rsid w:val="3E8B454E"/>
    <w:rsid w:val="3F655022"/>
    <w:rsid w:val="4A8B6F54"/>
    <w:rsid w:val="55440103"/>
    <w:rsid w:val="57E040E2"/>
    <w:rsid w:val="5BA87F9D"/>
    <w:rsid w:val="5FFA7B21"/>
    <w:rsid w:val="66614663"/>
    <w:rsid w:val="673B57FC"/>
    <w:rsid w:val="687D1153"/>
    <w:rsid w:val="6B1D22BB"/>
    <w:rsid w:val="6C2731BD"/>
    <w:rsid w:val="74936CD4"/>
    <w:rsid w:val="75232ABD"/>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Body Text"/>
    <w:basedOn w:val="1"/>
    <w:qFormat/>
    <w:uiPriority w:val="6"/>
    <w:rPr>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16417</Words>
  <Characters>17642</Characters>
  <Lines>35</Lines>
  <Paragraphs>10</Paragraphs>
  <TotalTime>99</TotalTime>
  <ScaleCrop>false</ScaleCrop>
  <LinksUpToDate>false</LinksUpToDate>
  <CharactersWithSpaces>17773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2023-08-08T08:39:15Z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1F58C919756F492AA2F933B4FE9ACCC5_13</vt:lpwstr>
  </property>
</Properties>
</file>