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大城县大尚屯镇人民政府</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Times New Roman" w:hAnsi="Times New Roman" w:eastAsia="仿宋_GB2312" w:cs="Times New Roman"/>
          <w:sz w:val="32"/>
          <w:szCs w:val="32"/>
        </w:rPr>
        <w:t>按照《预算法》、《地方预决算公开操作规程》和《河北省省级预算公开办法》规定，</w:t>
      </w:r>
      <w:r>
        <w:rPr>
          <w:rFonts w:hint="eastAsia" w:ascii="仿宋_GB2312" w:hAnsi="仿宋_GB2312" w:eastAsia="仿宋_GB2312" w:cs="仿宋_GB2312"/>
          <w:sz w:val="32"/>
          <w:szCs w:val="32"/>
        </w:rPr>
        <w:t>现将大城县大尚屯镇人民政府2019年部门预算公开如下：</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textAlignment w:val="auto"/>
        <w:outlineLvl w:val="9"/>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、党委：负责贯彻、执行党的路线、方针、政策、法律、法规和上级党委、政府、镇党委的指示、决定、决议。</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、政府：负责全镇的经济建设、计划统筹、人事劳动、财政、统计、乡镇企业管理、劳务管理和信访工作。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、人大：负责全镇人大各方面工作。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、财政：负责</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镇财政收支、预决算的编制执行、财政资金使用监管、国有资产管理工作、各项惠农补贴发放工作。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、农业：负责全镇的科学发展技术工作、农业综合开发工作、农村经济工作、和林业工作。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、水利：负责全镇水利各方面工作。</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8、广播：组织开展科普教育活动，引导农民开展健康有益的文娱体育活动；负责群众文艺骨干辅导和培训工作；搜集、整理民间文化艺术遗产；负责文物保护工作。</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3" w:firstLineChars="200"/>
        <w:jc w:val="left"/>
        <w:textAlignment w:val="auto"/>
        <w:outlineLvl w:val="9"/>
        <w:rPr>
          <w:rFonts w:hint="eastAsia" w:ascii="Times New Roman" w:hAnsi="Times New Roman" w:eastAsia="楷体_GB2312" w:cs="Times New Roman"/>
          <w:b/>
          <w:sz w:val="32"/>
          <w:szCs w:val="32"/>
          <w:lang w:val="en-US" w:eastAsia="zh-CN"/>
        </w:rPr>
      </w:pPr>
      <w:r>
        <w:rPr>
          <w:rFonts w:ascii="Times New Roman" w:hAnsi="Times New Roman" w:eastAsia="楷体_GB2312" w:cs="Times New Roman"/>
          <w:b/>
          <w:sz w:val="32"/>
          <w:szCs w:val="32"/>
        </w:rPr>
        <w:t>机构设置：</w:t>
      </w:r>
      <w:r>
        <w:rPr>
          <w:rFonts w:hint="eastAsia" w:ascii="Times New Roman" w:hAnsi="Times New Roman" w:eastAsia="楷体_GB2312" w:cs="Times New Roman"/>
          <w:b/>
          <w:sz w:val="32"/>
          <w:szCs w:val="32"/>
          <w:lang w:val="en-US" w:eastAsia="zh-CN"/>
        </w:rPr>
        <w:t xml:space="preserve">   </w:t>
      </w:r>
    </w:p>
    <w:p>
      <w:pPr>
        <w:autoSpaceDE w:val="0"/>
        <w:autoSpaceDN w:val="0"/>
        <w:adjustRightIn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部门机构设置情况</w:t>
      </w:r>
    </w:p>
    <w:tbl>
      <w:tblPr>
        <w:tblStyle w:val="8"/>
        <w:tblW w:w="11287" w:type="dxa"/>
        <w:tblInd w:w="1191" w:type="dxa"/>
        <w:tblLayout w:type="fixed"/>
        <w:tblCellMar>
          <w:top w:w="0" w:type="dxa"/>
          <w:left w:w="108" w:type="dxa"/>
          <w:bottom w:w="0" w:type="dxa"/>
          <w:right w:w="108" w:type="dxa"/>
        </w:tblCellMar>
      </w:tblPr>
      <w:tblGrid>
        <w:gridCol w:w="2737"/>
        <w:gridCol w:w="2119"/>
        <w:gridCol w:w="2531"/>
        <w:gridCol w:w="3900"/>
      </w:tblGrid>
      <w:tr>
        <w:tblPrEx>
          <w:tblCellMar>
            <w:top w:w="0" w:type="dxa"/>
            <w:left w:w="108" w:type="dxa"/>
            <w:bottom w:w="0" w:type="dxa"/>
            <w:right w:w="108" w:type="dxa"/>
          </w:tblCellMar>
        </w:tblPrEx>
        <w:trPr>
          <w:trHeight w:val="346" w:hRule="atLeast"/>
        </w:trPr>
        <w:tc>
          <w:tcPr>
            <w:tcW w:w="2737"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单位名称</w:t>
            </w:r>
          </w:p>
        </w:tc>
        <w:tc>
          <w:tcPr>
            <w:tcW w:w="2119" w:type="dxa"/>
            <w:tcBorders>
              <w:top w:val="single" w:color="auto" w:sz="4" w:space="0"/>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单位性质</w:t>
            </w:r>
          </w:p>
        </w:tc>
        <w:tc>
          <w:tcPr>
            <w:tcW w:w="2531" w:type="dxa"/>
            <w:tcBorders>
              <w:top w:val="single" w:color="auto" w:sz="4" w:space="0"/>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单位规格</w:t>
            </w:r>
          </w:p>
        </w:tc>
        <w:tc>
          <w:tcPr>
            <w:tcW w:w="3900" w:type="dxa"/>
            <w:tcBorders>
              <w:top w:val="single" w:color="auto" w:sz="4" w:space="0"/>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经费保障形式</w:t>
            </w:r>
          </w:p>
        </w:tc>
      </w:tr>
      <w:tr>
        <w:tblPrEx>
          <w:tblCellMar>
            <w:top w:w="0" w:type="dxa"/>
            <w:left w:w="108" w:type="dxa"/>
            <w:bottom w:w="0" w:type="dxa"/>
            <w:right w:w="108" w:type="dxa"/>
          </w:tblCellMar>
        </w:tblPrEx>
        <w:trPr>
          <w:trHeight w:val="356"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大尚屯镇党委</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行政</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正科级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财政拨款</w:t>
            </w:r>
          </w:p>
        </w:tc>
      </w:tr>
      <w:tr>
        <w:tblPrEx>
          <w:tblCellMar>
            <w:top w:w="0" w:type="dxa"/>
            <w:left w:w="108" w:type="dxa"/>
            <w:bottom w:w="0" w:type="dxa"/>
            <w:right w:w="108" w:type="dxa"/>
          </w:tblCellMar>
        </w:tblPrEx>
        <w:trPr>
          <w:trHeight w:val="394"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大尚屯镇政府办</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行政</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正科级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财政拨款</w:t>
            </w:r>
          </w:p>
        </w:tc>
      </w:tr>
      <w:tr>
        <w:tblPrEx>
          <w:tblCellMar>
            <w:top w:w="0" w:type="dxa"/>
            <w:left w:w="108" w:type="dxa"/>
            <w:bottom w:w="0" w:type="dxa"/>
            <w:right w:w="108" w:type="dxa"/>
          </w:tblCellMar>
        </w:tblPrEx>
        <w:trPr>
          <w:trHeight w:val="375"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大尚屯镇人大</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行政</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正科级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财政拨款</w:t>
            </w:r>
          </w:p>
        </w:tc>
      </w:tr>
      <w:tr>
        <w:tblPrEx>
          <w:tblCellMar>
            <w:top w:w="0" w:type="dxa"/>
            <w:left w:w="108" w:type="dxa"/>
            <w:bottom w:w="0" w:type="dxa"/>
            <w:right w:w="108" w:type="dxa"/>
          </w:tblCellMar>
        </w:tblPrEx>
        <w:trPr>
          <w:trHeight w:val="394"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大尚屯镇财政所</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392"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大尚屯镇计生</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337"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大尚屯镇农业</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375"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大尚屯镇水利</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CellMar>
            <w:top w:w="0" w:type="dxa"/>
            <w:left w:w="108" w:type="dxa"/>
            <w:bottom w:w="0" w:type="dxa"/>
            <w:right w:w="108" w:type="dxa"/>
          </w:tblCellMar>
        </w:tblPrEx>
        <w:trPr>
          <w:trHeight w:val="366"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大尚屯镇广播</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bl>
    <w:p>
      <w:pPr>
        <w:keepNext w:val="0"/>
        <w:keepLines w:val="0"/>
        <w:pageBreakBefore w:val="0"/>
        <w:widowControl w:val="0"/>
        <w:kinsoku/>
        <w:wordWrap/>
        <w:overflowPunct/>
        <w:topLinePunct w:val="0"/>
        <w:bidi w:val="0"/>
        <w:snapToGrid/>
        <w:spacing w:line="580" w:lineRule="exact"/>
        <w:ind w:left="0" w:leftChars="0" w:right="0" w:rightChars="0"/>
        <w:textAlignment w:val="auto"/>
        <w:outlineLvl w:val="9"/>
        <w:rPr>
          <w:rFonts w:ascii="Times New Roman" w:hAnsi="Times New Roman" w:eastAsia="黑体" w:cs="Times New Roman"/>
          <w:sz w:val="32"/>
          <w:szCs w:val="32"/>
        </w:rPr>
      </w:pP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部门预算的编制实行综合预算制度，即全部收入和支出都反映在预算中。</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1、收入说明</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反映本部门当年全部收入。2019年预算收入1407.56万元，其中：一般公共预算收入1407.56万元，基金预算收入0万元，财政专户核拨收入0万元，其他来源收入0万元。</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2、支出说明</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1407.56万元，其中基本支出1009.96万元，包括人员经费909.54万元和日常公用经费100.42万元；项目支出397.6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本级支出397.6万元，主要为鞭炮治理工作经费、信访维稳经费、土地整理经费、建档立卡贫困户扶贫帮扶专项经费、安监经费、环保经费、农村环境整治经费。</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3、比上年增减情况</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2019年预算收支安排1407.56万元，较2018年预算增加250.87万元，其中：基本支出增加100.75万元，主要为</w:t>
      </w:r>
      <w:r>
        <w:rPr>
          <w:rFonts w:hint="eastAsia" w:ascii="仿宋_GB2312" w:hAnsi="仿宋_GB2312" w:eastAsia="仿宋_GB2312" w:cs="仿宋_GB2312"/>
          <w:color w:val="000000"/>
          <w:sz w:val="32"/>
          <w:szCs w:val="32"/>
        </w:rPr>
        <w:t>增加人员经费支出</w:t>
      </w:r>
      <w:r>
        <w:rPr>
          <w:rFonts w:hint="eastAsia" w:ascii="仿宋_GB2312" w:hAnsi="仿宋_GB2312" w:eastAsia="仿宋_GB2312" w:cs="仿宋_GB2312"/>
          <w:sz w:val="32"/>
          <w:szCs w:val="32"/>
        </w:rPr>
        <w:t>；项目支出增加150.12万元，主要为土地整理经费、建档立卡贫困户扶贫专项经费等项目支出。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2019年，我部门机关运行经费共计安排100</w:t>
      </w:r>
      <w:bookmarkStart w:id="3" w:name="_GoBack"/>
      <w:bookmarkEnd w:id="3"/>
      <w:r>
        <w:rPr>
          <w:rFonts w:hint="eastAsia" w:ascii="仿宋_GB2312" w:hAnsi="仿宋_GB2312" w:eastAsia="仿宋_GB2312" w:cs="仿宋_GB2312"/>
          <w:sz w:val="32"/>
          <w:szCs w:val="32"/>
        </w:rPr>
        <w:t>.42万元，主要用于我部门的日常办公费、日常维修、办公用房水电费、公务用车运行维护费等日常运行支出。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2万元。其中，因公出国（境）费0万元；公务用车购置及运维费2万元（其中：公务用车购置费为0万元，公务用车运维费2万元)；公务接待费0万元。与2018年相比减少17万元，其中：公务用车购置及运维费减少17万元（其中：公务用车购置费与2018年相比持平，公务用车运维费减少17万元)，主要原因我部门切实落实勤俭节约各项规定，压减公车运行经费支出。公务接待费与2018年相比持平。</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Times New Roman" w:hAnsi="Times New Roman" w:eastAsia="黑体" w:cs="Times New Roman"/>
          <w:sz w:val="32"/>
          <w:szCs w:val="32"/>
        </w:rPr>
      </w:pPr>
      <w:r>
        <w:rPr>
          <w:rFonts w:ascii="Times New Roman" w:hAnsi="黑体" w:eastAsia="黑体" w:cs="Times New Roman"/>
          <w:sz w:val="32"/>
          <w:szCs w:val="32"/>
        </w:rPr>
        <w:t>五、绩效预算信息</w:t>
      </w:r>
      <w:bookmarkStart w:id="0" w:name="_Toc471398463"/>
    </w:p>
    <w:p>
      <w:pPr>
        <w:keepNext w:val="0"/>
        <w:keepLines w:val="0"/>
        <w:pageBreakBefore w:val="0"/>
        <w:widowControl w:val="0"/>
        <w:kinsoku/>
        <w:wordWrap/>
        <w:overflowPunct/>
        <w:topLinePunct w:val="0"/>
        <w:bidi w:val="0"/>
        <w:snapToGrid/>
        <w:spacing w:line="580" w:lineRule="exact"/>
        <w:ind w:left="0" w:leftChars="0" w:right="0" w:rightChars="0" w:firstLine="643" w:firstLineChars="200"/>
        <w:textAlignment w:val="auto"/>
        <w:outlineLvl w:val="9"/>
        <w:rPr>
          <w:rFonts w:hint="eastAsia" w:ascii="Times New Roman" w:hAnsi="Times New Roman" w:eastAsia="黑体" w:cs="Times New Roman"/>
          <w:sz w:val="32"/>
          <w:szCs w:val="32"/>
        </w:rPr>
      </w:pPr>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、加大农村生态环境整治工作力度，打造绿色宜居乡村，改善全镇55个村街人居和生态环境质量。</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、加大招商引资项目建设力度，新增千万元以上项目1</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个，亿元以上项目1个。</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、加大小散乱污企业整治工作力度，关停取缔</w:t>
      </w:r>
      <w:r>
        <w:rPr>
          <w:rFonts w:hint="eastAsia" w:ascii="仿宋_GB2312" w:hAnsi="仿宋_GB2312" w:eastAsia="仿宋_GB2312" w:cs="仿宋_GB2312"/>
          <w:sz w:val="32"/>
          <w:szCs w:val="32"/>
        </w:rPr>
        <w:t>32</w:t>
      </w:r>
      <w:r>
        <w:rPr>
          <w:rFonts w:ascii="仿宋_GB2312" w:hAnsi="仿宋_GB2312" w:eastAsia="仿宋_GB2312" w:cs="仿宋_GB2312"/>
          <w:sz w:val="32"/>
          <w:szCs w:val="32"/>
        </w:rPr>
        <w:t>家，整改</w:t>
      </w:r>
      <w:r>
        <w:rPr>
          <w:rFonts w:hint="eastAsia" w:ascii="仿宋_GB2312" w:hAnsi="仿宋_GB2312" w:eastAsia="仿宋_GB2312" w:cs="仿宋_GB2312"/>
          <w:sz w:val="32"/>
          <w:szCs w:val="32"/>
        </w:rPr>
        <w:t>72</w:t>
      </w:r>
      <w:r>
        <w:rPr>
          <w:rFonts w:ascii="仿宋_GB2312" w:hAnsi="仿宋_GB2312" w:eastAsia="仿宋_GB2312" w:cs="仿宋_GB2312"/>
          <w:sz w:val="32"/>
          <w:szCs w:val="32"/>
        </w:rPr>
        <w:t>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、加大道路交通工作实施力度，对一部分桥梁和道路进行翻修和修补工作，改善近二十个村街群众的出行困难的局面。</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、加大植树造林工作力度，完成县局下达的全镇绿化任务。</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、加大安全生产及鞭炮治理工作力度，开展全镇安全生产执法检查及鞭炮整治专项工作检查次数不低于</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次。</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、加大农业产业发展力度，种植黄瓜、芦笋、食用菌等蔬菜种植面积达到9000亩，葡萄、梨、苹果、桃等水果种植面积达到1万亩，生猪、奶牛、蛋鸡等畜禽养殖达到160万头、只。</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、加大市场监管力度，促进税收工作，完成全年税收任务。</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、加大建档立卡贫困户扶贫工作，引导贫困户致富不低于10户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80" w:lineRule="exact"/>
        <w:ind w:right="0" w:rightChars="0" w:firstLine="643" w:firstLineChars="200"/>
        <w:jc w:val="left"/>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部门职责及工作活动绩效目标指标：</w:t>
      </w:r>
    </w:p>
    <w:p>
      <w:pPr>
        <w:keepNext w:val="0"/>
        <w:keepLines w:val="0"/>
        <w:pageBreakBefore w:val="0"/>
        <w:widowControl w:val="0"/>
        <w:kinsoku/>
        <w:wordWrap/>
        <w:overflowPunct/>
        <w:topLinePunct w:val="0"/>
        <w:bidi w:val="0"/>
        <w:snapToGrid/>
        <w:spacing w:line="580" w:lineRule="exact"/>
        <w:ind w:right="0" w:rightChars="0"/>
        <w:jc w:val="left"/>
        <w:textAlignment w:val="auto"/>
        <w:outlineLvl w:val="9"/>
        <w:rPr>
          <w:rFonts w:hint="eastAsia" w:ascii="仿宋_GB2312" w:hAnsi="仿宋_GB2312" w:eastAsia="仿宋_GB2312" w:cs="仿宋_GB2312"/>
          <w:sz w:val="32"/>
          <w:szCs w:val="32"/>
        </w:rPr>
      </w:pPr>
    </w:p>
    <w:bookmarkEnd w:id="0"/>
    <w:p>
      <w:pPr>
        <w:jc w:val="center"/>
        <w:outlineLvl w:val="0"/>
        <w:rPr>
          <w:rFonts w:ascii="方正小标宋_GBK" w:eastAsia="方正小标宋_GBK"/>
          <w:color w:val="FFFFFF"/>
          <w:sz w:val="32"/>
        </w:rPr>
      </w:pPr>
      <w:bookmarkStart w:id="1" w:name="_Toc2084087"/>
      <w:bookmarkStart w:id="2" w:name="_Toc504489147"/>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502</w:t>
            </w:r>
            <w:r>
              <w:rPr>
                <w:rFonts w:hint="eastAsia" w:ascii="方正小标宋_GBK" w:eastAsia="方正小标宋_GBK"/>
                <w:sz w:val="24"/>
              </w:rPr>
              <w:t>大城县大尚屯镇人民政府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一、计划生育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、计划生育家庭发展与利益导向机制建设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、计划生育指导与管理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逐步扩大流动人口卫生计生基本公共服务均等化覆盖面</w:t>
            </w:r>
            <w:r>
              <w:rPr>
                <w:rFonts w:ascii="方正书宋_GBK" w:eastAsia="方正书宋_GBK"/>
              </w:rPr>
              <w:t>,</w:t>
            </w:r>
            <w:r>
              <w:rPr>
                <w:rFonts w:hint="eastAsia" w:ascii="方正书宋_GBK" w:eastAsia="方正书宋_GBK"/>
              </w:rPr>
              <w:t>提高计划生育依法行政能力</w:t>
            </w:r>
            <w:r>
              <w:rPr>
                <w:rFonts w:ascii="方正书宋_GBK" w:eastAsia="方正书宋_GBK"/>
              </w:rPr>
              <w:t>,</w:t>
            </w:r>
            <w:r>
              <w:rPr>
                <w:rFonts w:hint="eastAsia" w:ascii="方正书宋_GBK" w:eastAsia="方正书宋_GBK"/>
              </w:rPr>
              <w:t>提高各类人群计划生育服务满意度</w:t>
            </w:r>
            <w:r>
              <w:rPr>
                <w:rFonts w:ascii="方正书宋_GBK" w:eastAsia="方正书宋_GBK"/>
              </w:rPr>
              <w:t>,</w:t>
            </w:r>
            <w:r>
              <w:rPr>
                <w:rFonts w:hint="eastAsia" w:ascii="方正书宋_GBK" w:eastAsia="方正书宋_GBK"/>
              </w:rPr>
              <w:t>促进社会和谐发展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流动人口计划生育服务满意率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、计划生育群众工作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协助政府开展计划生育群众自治、亲情关爱及幸福工程等工作，动员广大群众自觉参与和实行各项计划生育政策。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增进广大育龄群众和计生家庭福祉，提高群众自觉实行计划生育的积极性。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计划生育基层群众</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行动帮扶覆盖面</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完成县委县政府制定的造林任务及全镇森林覆盖率考核目标。有效改善生态环境。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全镇造林绿化的指导性计划，贯彻落实国家、省有关标准和规程，指导公益林和商品林的培育，指导植树造林和以植树种草等生物措施防治水土流失工作，指导监督全民义务植树和造林绿化工作。承担林业应对气候变化的相关工作。承担镇绿化委员会的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增加有林地面积，提高全镇绿化水平和森林覆盖率，改善生态环境。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全年造林绿化工程完成合格面积统计数据。</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三、生态环境综合整治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生态环境综合整治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加强大气、水体、机动车污染防治，加强固体废弃物、重金属等重点污染治理工程的防治工作；加强村街卫生环境整治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农村垃圾、污水收集处理完成情况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、重点污染治理工程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加强对影响全镇环境质量的重点污染物排放进行防治，引导促进全镇环境保护污染减排工程建设，推动污染综合防治活动开展。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开展全镇重点污染工程防治工作，推动污染防治工作开展，改善我镇环境质量。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四、安全生产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组织开展对辖区内生产经营的企业、个人的巡逻防控及监管工作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依法对存在安全隐患的企业进行整改，对违法企业进行取缔，维护社会稳定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、巡查监管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组织专门的工作人员开展安全生产巡逻防控监管工作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通过检查安全生产，最大限度地发现、纠正、督促企业消除各类隐患，预防和减少事故的发生，确保乡镇安全生产形势持续稳定好转，加大安全生产宣传和信息公开力度，提高全社会安全生产意识。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五、人大事务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人大监督、人大会议、选举和任免及日常综合工作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执法检查；会议筹备；换届选举及人事任免服务工作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人大监督、人大会议、选举和任免及日常综合工作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确保乡镇人大换届选举工作顺利完成，提高组织换届选举工作水平；高质量完成乡镇领导人选举和常委会人事任免服务工作；高效督办有关部门负责人的目标责任书和述职报告。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换届选举工作完成率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六、党委事务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负责贯彻执行党的路线、方针、政策和上级党委及本级党代会（党员大会）的决议。领导镇镇政权机关和群团组织，支持和保证这些机关、组织依照国家法律法规及各自章程充分行使职权。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本镇全局性的工作进行领导。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、党委工作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加强党的建设。增强镇党委抓农村基层组织建设的直接责任意识，形成农村基层组织建设常抓不懈的工作机制。通过党组织的战斗堡垒作用和党员的先锋模范作用，增强党在人民群众中的凝聚力和号召力。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增强镇党委抓农村基层组织建设的直接责任意识，形成农村基层组织建设常抓不懈的工作机制。通过党组织的战斗堡垒作用和党员的先锋模范作用，增强党在人民群众中的凝聚力和号召力。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确保党委事务有效运转</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七、政府事务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204.60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按照有关要求，做好机关办公服务工作。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降低运行成本，为创建节约型机关打下了良好的基础。提升了服务管理水平，及时了解国内外形势、党和国家的方针政策以及镇委、镇政府办公室的重要部署和要求，及时为政府工作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204.60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宣传、落实好党的路线、方针、政策和国家的法律、法规，稳定农村基本经济制度，坚持依法行政，推进政务公开，加强对村民委员会的指导，提高、培育村民委员会自治能力。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确保政府工作高效完成。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2"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八、财务核算管理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管理乡镇财务管理</w:t>
            </w:r>
            <w:r>
              <w:rPr>
                <w:rFonts w:ascii="方正书宋_GBK" w:eastAsia="方正书宋_GBK"/>
              </w:rPr>
              <w:t xml:space="preserve"> </w:t>
            </w:r>
            <w:r>
              <w:rPr>
                <w:rFonts w:hint="eastAsia" w:ascii="方正书宋_GBK" w:eastAsia="方正书宋_GBK"/>
              </w:rPr>
              <w:t>，保障乡镇各项工作正常运行。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认真编制、执行乡镇预算和决算；</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规范处理本乡镇账务，并且指导内部相关会计和村级管理员报账制度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做好乡镇账务工作、票据管理和会计档案管理工作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9"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九、农业资源保护和生态建设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、农业基层推广体系改革与建设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支持镇级落实机构、编制和专业人员，配备必要设备等，提升基层农技服务机构的科技推广能力，为农户提供更多适用技术。</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健全农业基层推广体系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农技推广综合服务能力效益增长率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十、文化艺术管理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管理和指导全镇文化建设，推进文化发展环境能力建设，提供公共文化服务、文化艺术资源建设和文化艺术生产。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文化发展环境健康向上，文化发展能力不断增强，文化艺术资源丰富，公共文化服务和文化艺术生产水平不断提高，河北文化影响力日益扩大。</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、公共文化服务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推动全镇各级文化服务机构，建立公共文化资源共享机制，健全公共文化服务网络。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公共文化场馆免费率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文化设施、机构、队伍健全率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农家书屋更新完成率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十一、城乡建设管理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指导乡镇公用设施建设、安全和应急管理；拟定村庄和小城镇建设政策并指导实施；指导镇、乡村庄规划的编制和实施；指导农村住房建设、住房安全和危房改造；改善小城镇和村庄人居环境；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加强管理，提高乡镇承载能力和宜居度。加强村镇建设，改善农村人居环境，实现城乡统筹发展。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、推进城镇化建设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指导推进乡镇建设与改造，推进小城镇和集镇人居环境改善做好镇村规划、环境质量、居住水平、产业聚集、风貌特色、综合管理、城建投融资等指导工作，协调和指导推进城镇化工作。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制定镇、村两级规划，加强村镇及园区基础设施建设，保证农村及企业用电需求，改善农村人居环境，实现城乡统筹发展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镇级规划及基础设施建设完成情况，垃圾处理率，乡镇建设工作考核完成率。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十二、民政事务管理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承担社会救助体系，负责农村最低生活保障，五保户供养，医疗及临时生活救助。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完善城乡社会救助制度，实行分类救助，应保就保，做到动态管理。</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加强农村低保、五保户供养和医疗及临时生活救助等保障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做好农村低保，五保户及医疗救助等的申请及落实工作。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十三、水利政务管理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依法依规履行机关日常管理职责。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依法依规履行机关日常管理职责，确保水利工作正常运行。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协调推动、普查统计、督促指导、对外合作、行政审批、业务监管、水利立法、执法、处理水事纠纷，监督检查、人事管理、表彰奖励及其他依法行政管理活动。镇委、政府交办的其他事项等行政管理事项。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依法依规完成工作任务，推进科学决策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bl>
    <w:p>
      <w:pPr>
        <w:ind w:left="420" w:leftChars="200"/>
        <w:jc w:val="left"/>
        <w:outlineLvl w:val="0"/>
        <w:rPr>
          <w:rFonts w:ascii="方正楷体_GBK" w:eastAsia="方正楷体_GBK"/>
          <w:sz w:val="24"/>
        </w:rPr>
      </w:pP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p>
      <w:pPr>
        <w:autoSpaceDE w:val="0"/>
        <w:autoSpaceDN w:val="0"/>
        <w:adjustRightInd w:val="0"/>
        <w:spacing w:line="584" w:lineRule="exact"/>
        <w:ind w:firstLine="800" w:firstLineChars="250"/>
        <w:jc w:val="left"/>
        <w:rPr>
          <w:rFonts w:ascii="Times New Roman" w:hAnsi="黑体" w:eastAsia="黑体" w:cs="Times New Roman"/>
          <w:sz w:val="32"/>
          <w:szCs w:val="32"/>
        </w:rPr>
      </w:pPr>
    </w:p>
    <w:p>
      <w:pPr>
        <w:autoSpaceDE w:val="0"/>
        <w:autoSpaceDN w:val="0"/>
        <w:adjustRightInd w:val="0"/>
        <w:spacing w:line="584" w:lineRule="exact"/>
        <w:ind w:firstLine="800" w:firstLineChars="25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800" w:firstLineChars="250"/>
        <w:outlineLvl w:val="0"/>
        <w:rPr>
          <w:rFonts w:hint="eastAsia" w:ascii="仿宋_GB2312" w:hAnsi="仿宋_GB2312" w:eastAsia="仿宋_GB2312" w:cs="仿宋_GB2312"/>
        </w:rPr>
        <w:sectPr>
          <w:pgSz w:w="16839" w:h="11907" w:orient="landscape"/>
          <w:pgMar w:top="1803" w:right="1440" w:bottom="1803" w:left="1440" w:header="851" w:footer="992" w:gutter="0"/>
          <w:cols w:space="0" w:num="1"/>
          <w:rtlGutter w:val="0"/>
          <w:docGrid w:type="lines" w:linePitch="319" w:charSpace="0"/>
        </w:sectPr>
      </w:pPr>
      <w:r>
        <w:rPr>
          <w:rFonts w:hint="eastAsia" w:ascii="仿宋_GB2312" w:hAnsi="仿宋_GB2312" w:eastAsia="仿宋_GB2312" w:cs="仿宋_GB2312"/>
          <w:sz w:val="32"/>
          <w:szCs w:val="24"/>
        </w:rPr>
        <w:t>2019年，我部门无政府采购预算</w:t>
      </w:r>
      <w:r>
        <w:rPr>
          <w:rFonts w:hint="eastAsia" w:ascii="仿宋_GB2312" w:hAnsi="仿宋_GB2312" w:eastAsia="仿宋_GB2312" w:cs="仿宋_GB2312"/>
          <w:sz w:val="32"/>
          <w:szCs w:val="24"/>
          <w:lang w:eastAsia="zh-CN"/>
        </w:rPr>
        <w:t>。</w:t>
      </w:r>
    </w:p>
    <w:bookmarkEnd w:id="2"/>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黑体" w:eastAsia="仿宋_GB2312"/>
          <w:sz w:val="32"/>
          <w:szCs w:val="32"/>
        </w:rPr>
        <w:t>大城县大尚屯镇人民政府（含所属单位）上年末固定资产金额为203.73万元，2019年我部门无新增固定资产计划。</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299"/>
        <w:gridCol w:w="4925"/>
        <w:gridCol w:w="3155"/>
        <w:gridCol w:w="5103"/>
      </w:tblGrid>
      <w:tr>
        <w:tblPrEx>
          <w:tblCellMar>
            <w:top w:w="0" w:type="dxa"/>
            <w:left w:w="108" w:type="dxa"/>
            <w:bottom w:w="0" w:type="dxa"/>
            <w:right w:w="108" w:type="dxa"/>
          </w:tblCellMar>
        </w:tblPrEx>
        <w:trPr>
          <w:gridBefore w:val="1"/>
          <w:wBefore w:w="299" w:type="dxa"/>
          <w:trHeight w:val="705" w:hRule="atLeast"/>
        </w:trPr>
        <w:tc>
          <w:tcPr>
            <w:tcW w:w="13183"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大城县大尚屯镇人民政府</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3"/>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编制部门：大城县大尚屯镇人民政府</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截止时间：2018年12月31日  </w:t>
            </w:r>
          </w:p>
        </w:tc>
      </w:tr>
      <w:tr>
        <w:tblPrEx>
          <w:tblCellMar>
            <w:top w:w="0" w:type="dxa"/>
            <w:left w:w="108" w:type="dxa"/>
            <w:bottom w:w="0" w:type="dxa"/>
            <w:right w:w="108" w:type="dxa"/>
          </w:tblCellMar>
        </w:tblPrEx>
        <w:trPr>
          <w:trHeight w:val="645" w:hRule="atLeast"/>
        </w:trPr>
        <w:tc>
          <w:tcPr>
            <w:tcW w:w="52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203.73</w:t>
            </w:r>
          </w:p>
        </w:tc>
      </w:tr>
      <w:tr>
        <w:tblPrEx>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11286</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136.18</w:t>
            </w:r>
          </w:p>
        </w:tc>
      </w:tr>
      <w:tr>
        <w:tblPrEx>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8420</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110..09</w:t>
            </w:r>
          </w:p>
        </w:tc>
      </w:tr>
      <w:tr>
        <w:tblPrEx>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21.18</w:t>
            </w:r>
          </w:p>
        </w:tc>
      </w:tr>
      <w:tr>
        <w:tblPrEx>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3、单价在50万元以上的设备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46.37</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hint="eastAsia" w:ascii="楷体" w:hAnsi="楷体" w:eastAsia="楷体" w:cs="楷体"/>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SimSun-ExtB"/>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NzgxOGZmN2EwNDQzNDExYzRjZGIyOTdkMTdhYzEifQ=="/>
  </w:docVars>
  <w:rsids>
    <w:rsidRoot w:val="00F66032"/>
    <w:rsid w:val="000053CC"/>
    <w:rsid w:val="00010564"/>
    <w:rsid w:val="000210CA"/>
    <w:rsid w:val="000268C8"/>
    <w:rsid w:val="00037AF6"/>
    <w:rsid w:val="000410F2"/>
    <w:rsid w:val="0004565F"/>
    <w:rsid w:val="00047FC0"/>
    <w:rsid w:val="00072187"/>
    <w:rsid w:val="00072D08"/>
    <w:rsid w:val="00075D5F"/>
    <w:rsid w:val="0008180F"/>
    <w:rsid w:val="00093DA3"/>
    <w:rsid w:val="0009587A"/>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85FD2"/>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3757F"/>
    <w:rsid w:val="00554F4B"/>
    <w:rsid w:val="00572067"/>
    <w:rsid w:val="00573562"/>
    <w:rsid w:val="00590ECE"/>
    <w:rsid w:val="005B3F56"/>
    <w:rsid w:val="005B4137"/>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40B9"/>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2391"/>
    <w:rsid w:val="009B511E"/>
    <w:rsid w:val="009B5215"/>
    <w:rsid w:val="009C6C86"/>
    <w:rsid w:val="009D37D3"/>
    <w:rsid w:val="00A10CC3"/>
    <w:rsid w:val="00A16E6C"/>
    <w:rsid w:val="00A36F96"/>
    <w:rsid w:val="00A40F60"/>
    <w:rsid w:val="00A44E3D"/>
    <w:rsid w:val="00A539D4"/>
    <w:rsid w:val="00A72D2E"/>
    <w:rsid w:val="00A7348E"/>
    <w:rsid w:val="00A74447"/>
    <w:rsid w:val="00A74CE5"/>
    <w:rsid w:val="00A77500"/>
    <w:rsid w:val="00A8536F"/>
    <w:rsid w:val="00A911E7"/>
    <w:rsid w:val="00A939D9"/>
    <w:rsid w:val="00AB77AA"/>
    <w:rsid w:val="00AC4748"/>
    <w:rsid w:val="00AC5ED0"/>
    <w:rsid w:val="00AD1D5F"/>
    <w:rsid w:val="00AD5259"/>
    <w:rsid w:val="00B01D36"/>
    <w:rsid w:val="00B078CD"/>
    <w:rsid w:val="00B1014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17B51"/>
    <w:rsid w:val="00C21E0F"/>
    <w:rsid w:val="00C362CA"/>
    <w:rsid w:val="00C732BF"/>
    <w:rsid w:val="00C772C1"/>
    <w:rsid w:val="00CA7176"/>
    <w:rsid w:val="00CB51D7"/>
    <w:rsid w:val="00CC75B0"/>
    <w:rsid w:val="00CC7B84"/>
    <w:rsid w:val="00CD2773"/>
    <w:rsid w:val="00CE01BA"/>
    <w:rsid w:val="00CE0CB9"/>
    <w:rsid w:val="00CE143B"/>
    <w:rsid w:val="00CE3A91"/>
    <w:rsid w:val="00D07DBA"/>
    <w:rsid w:val="00D23C16"/>
    <w:rsid w:val="00D27003"/>
    <w:rsid w:val="00D324AD"/>
    <w:rsid w:val="00D779A5"/>
    <w:rsid w:val="00D9307A"/>
    <w:rsid w:val="00DA76CB"/>
    <w:rsid w:val="00DB4322"/>
    <w:rsid w:val="00DB5B5A"/>
    <w:rsid w:val="00DD1D0C"/>
    <w:rsid w:val="00DE186D"/>
    <w:rsid w:val="00E167C7"/>
    <w:rsid w:val="00E32E4D"/>
    <w:rsid w:val="00E55B78"/>
    <w:rsid w:val="00E76361"/>
    <w:rsid w:val="00E84020"/>
    <w:rsid w:val="00E906B2"/>
    <w:rsid w:val="00EB7A80"/>
    <w:rsid w:val="00EC0035"/>
    <w:rsid w:val="00EC47F6"/>
    <w:rsid w:val="00EE6D6D"/>
    <w:rsid w:val="00EF08C9"/>
    <w:rsid w:val="00EF535E"/>
    <w:rsid w:val="00F471F7"/>
    <w:rsid w:val="00F66032"/>
    <w:rsid w:val="00F83B96"/>
    <w:rsid w:val="00F8441D"/>
    <w:rsid w:val="00F87C1E"/>
    <w:rsid w:val="00F958C2"/>
    <w:rsid w:val="00FA740E"/>
    <w:rsid w:val="00FB7061"/>
    <w:rsid w:val="00FC06C7"/>
    <w:rsid w:val="00FD5DB4"/>
    <w:rsid w:val="00FD676E"/>
    <w:rsid w:val="00FE1724"/>
    <w:rsid w:val="00FE5FBF"/>
    <w:rsid w:val="00FE753C"/>
    <w:rsid w:val="00FF2346"/>
    <w:rsid w:val="013C2757"/>
    <w:rsid w:val="05360D5D"/>
    <w:rsid w:val="1DA04150"/>
    <w:rsid w:val="21AA4A7C"/>
    <w:rsid w:val="442B6C4C"/>
    <w:rsid w:val="45D17ACE"/>
    <w:rsid w:val="55F10577"/>
    <w:rsid w:val="64F128F1"/>
    <w:rsid w:val="78D517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autoRedefine/>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0"/>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0"/>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07D9-E561-462F-B640-859B0B0E9D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1060</Words>
  <Characters>6046</Characters>
  <Lines>50</Lines>
  <Paragraphs>14</Paragraphs>
  <TotalTime>2</TotalTime>
  <ScaleCrop>false</ScaleCrop>
  <LinksUpToDate>false</LinksUpToDate>
  <CharactersWithSpaces>7092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忽忽</cp:lastModifiedBy>
  <cp:lastPrinted>2019-02-27T09:02:00Z</cp:lastPrinted>
  <dcterms:modified xsi:type="dcterms:W3CDTF">2024-01-18T03:12:11Z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531C5C2F75DC4085BF575FD6A1F7550F_12</vt:lpwstr>
  </property>
</Properties>
</file>