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color w:val="000000" w:themeColor="text1"/>
          <w:sz w:val="96"/>
          <w:szCs w:val="96"/>
        </w:rPr>
      </w:pPr>
      <w:r>
        <w:rPr>
          <w:sz w:val="84"/>
          <w:szCs w:val="84"/>
        </w:rPr>
        <w:t>201</w:t>
      </w:r>
      <w:r>
        <w:rPr>
          <w:rFonts w:hint="eastAsia"/>
          <w:sz w:val="84"/>
          <w:szCs w:val="84"/>
        </w:rPr>
        <w:t>8</w:t>
      </w:r>
      <w:r>
        <w:rPr>
          <w:sz w:val="84"/>
          <w:szCs w:val="84"/>
        </w:rPr>
        <w:t>年度部门决算公开</w:t>
      </w:r>
    </w:p>
    <w:p>
      <w:pPr>
        <w:widowControl/>
        <w:jc w:val="center"/>
        <w:rPr>
          <w:rFonts w:hAnsi="宋体" w:asciiTheme="minorEastAsia" w:eastAsiaTheme="minorEastAsia"/>
          <w:color w:val="002060"/>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ind w:firstLine="2871" w:firstLineChars="650"/>
        <w:jc w:val="both"/>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b/>
          <w:sz w:val="44"/>
          <w:szCs w:val="44"/>
        </w:rPr>
        <w:t>廊坊市</w:t>
      </w:r>
      <w:r>
        <w:rPr>
          <w:rFonts w:hint="eastAsia"/>
          <w:b/>
          <w:sz w:val="44"/>
          <w:szCs w:val="44"/>
          <w:lang w:eastAsia="zh-CN"/>
        </w:rPr>
        <w:t>大城县委党校</w:t>
      </w:r>
    </w:p>
    <w:p>
      <w:pPr>
        <w:spacing w:beforeLines="200" w:after="0" w:line="1000" w:lineRule="exact"/>
        <w:jc w:val="center"/>
        <w:rPr>
          <w:rFonts w:ascii="黑体" w:eastAsia="黑体"/>
          <w:sz w:val="48"/>
          <w:szCs w:val="48"/>
        </w:rPr>
      </w:pP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w:t>
      </w:r>
      <w:r>
        <w:rPr>
          <w:rFonts w:hint="eastAsia" w:eastAsia="黑体"/>
          <w:sz w:val="32"/>
          <w:szCs w:val="32"/>
          <w:lang w:val="en-US" w:eastAsia="zh-CN"/>
        </w:rPr>
        <w:t xml:space="preserve">  </w:t>
      </w:r>
      <w:r>
        <w:rPr>
          <w:rFonts w:hint="eastAsia" w:eastAsia="黑体"/>
          <w:sz w:val="32"/>
          <w:szCs w:val="32"/>
          <w:lang w:eastAsia="zh-CN"/>
        </w:rPr>
        <w:t>大城县委党校</w:t>
      </w:r>
      <w:r>
        <w:rPr>
          <w:rFonts w:eastAsia="黑体"/>
          <w:sz w:val="32"/>
          <w:szCs w:val="32"/>
        </w:rPr>
        <w:t>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 xml:space="preserve">第二部分  </w:t>
      </w:r>
      <w:r>
        <w:rPr>
          <w:rFonts w:hint="eastAsia" w:eastAsia="黑体"/>
          <w:sz w:val="32"/>
          <w:szCs w:val="32"/>
          <w:lang w:eastAsia="zh-CN"/>
        </w:rPr>
        <w:t>大城县委党校</w:t>
      </w:r>
      <w:r>
        <w:rPr>
          <w:rFonts w:eastAsia="黑体"/>
          <w:sz w:val="32"/>
          <w:szCs w:val="32"/>
        </w:rPr>
        <w:t>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lang w:eastAsia="zh-CN"/>
        </w:rPr>
        <w:t>大城县委党校</w:t>
      </w:r>
      <w:r>
        <w:rPr>
          <w:rFonts w:eastAsia="黑体"/>
          <w:sz w:val="32"/>
          <w:szCs w:val="32"/>
        </w:rPr>
        <w:t>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p/>
    <w:p/>
    <w:p/>
    <w:p/>
    <w:p/>
    <w:p>
      <w:pPr>
        <w:widowControl/>
        <w:jc w:val="center"/>
        <w:rPr>
          <w:color w:val="000000" w:themeColor="text1"/>
          <w:sz w:val="96"/>
          <w:szCs w:val="96"/>
        </w:rPr>
      </w:pPr>
      <w:r>
        <w:rPr>
          <w:rFonts w:hint="eastAsia" w:hAnsi="宋体" w:asciiTheme="minorEastAsia" w:eastAsiaTheme="minorEastAsia"/>
          <w:color w:val="000000" w:themeColor="text1"/>
          <w:sz w:val="96"/>
          <w:szCs w:val="96"/>
        </w:rPr>
        <w:t>第一部分  部门概况</w:t>
      </w:r>
    </w:p>
    <w:p/>
    <w:p/>
    <w:p/>
    <w:p/>
    <w:p/>
    <w:p/>
    <w:p/>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numPr>
          <w:ilvl w:val="0"/>
          <w:numId w:val="1"/>
        </w:numPr>
        <w:autoSpaceDE w:val="0"/>
        <w:autoSpaceDN w:val="0"/>
        <w:snapToGrid w:val="0"/>
        <w:spacing w:line="584" w:lineRule="exact"/>
        <w:ind w:firstLine="640" w:firstLineChars="200"/>
        <w:rPr>
          <w:rFonts w:ascii="Calibri" w:hAnsi="Calibri" w:eastAsia="仿宋_GB2312" w:cs="Times New Roman"/>
          <w:sz w:val="32"/>
          <w:szCs w:val="32"/>
        </w:rPr>
      </w:pPr>
      <w:r>
        <w:rPr>
          <w:rFonts w:hint="eastAsia" w:ascii="Calibri" w:hAnsi="Calibri" w:eastAsia="仿宋_GB2312" w:cs="Times New Roman"/>
          <w:sz w:val="32"/>
          <w:szCs w:val="32"/>
        </w:rPr>
        <w:t>轮训副科级以下党员干部，加强对乡、村基层干部的理想信念教育、党性党风党纪教育、群众路线教育和政策法制教育。</w:t>
      </w:r>
    </w:p>
    <w:p>
      <w:pPr>
        <w:numPr>
          <w:ilvl w:val="0"/>
          <w:numId w:val="1"/>
        </w:numPr>
        <w:autoSpaceDE w:val="0"/>
        <w:autoSpaceDN w:val="0"/>
        <w:snapToGrid w:val="0"/>
        <w:spacing w:line="584" w:lineRule="exact"/>
        <w:ind w:firstLine="640" w:firstLineChars="200"/>
        <w:rPr>
          <w:rFonts w:ascii="Calibri" w:hAnsi="Calibri" w:eastAsia="仿宋_GB2312" w:cs="Times New Roman"/>
          <w:sz w:val="32"/>
          <w:szCs w:val="32"/>
        </w:rPr>
      </w:pPr>
      <w:r>
        <w:rPr>
          <w:rFonts w:hint="eastAsia" w:ascii="Calibri" w:hAnsi="Calibri" w:eastAsia="仿宋_GB2312" w:cs="Times New Roman"/>
          <w:sz w:val="32"/>
          <w:szCs w:val="32"/>
        </w:rPr>
        <w:t>培训中青年党员领导干部。</w:t>
      </w:r>
    </w:p>
    <w:p>
      <w:pPr>
        <w:numPr>
          <w:ilvl w:val="0"/>
          <w:numId w:val="1"/>
        </w:numPr>
        <w:autoSpaceDE w:val="0"/>
        <w:autoSpaceDN w:val="0"/>
        <w:snapToGrid w:val="0"/>
        <w:spacing w:line="584" w:lineRule="exact"/>
        <w:ind w:firstLine="640" w:firstLineChars="200"/>
        <w:rPr>
          <w:rFonts w:ascii="Calibri" w:hAnsi="Calibri" w:eastAsia="仿宋_GB2312" w:cs="Times New Roman"/>
          <w:sz w:val="32"/>
          <w:szCs w:val="32"/>
        </w:rPr>
      </w:pPr>
      <w:r>
        <w:rPr>
          <w:rFonts w:hint="eastAsia" w:ascii="Calibri" w:hAnsi="Calibri" w:eastAsia="仿宋_GB2312" w:cs="Times New Roman"/>
          <w:sz w:val="32"/>
          <w:szCs w:val="32"/>
        </w:rPr>
        <w:t>培训意识形态部门的领导和理论干部。</w:t>
      </w:r>
    </w:p>
    <w:p>
      <w:pPr>
        <w:numPr>
          <w:ilvl w:val="0"/>
          <w:numId w:val="1"/>
        </w:numPr>
        <w:autoSpaceDE w:val="0"/>
        <w:autoSpaceDN w:val="0"/>
        <w:snapToGrid w:val="0"/>
        <w:spacing w:line="584" w:lineRule="exact"/>
        <w:ind w:firstLine="640" w:firstLineChars="200"/>
        <w:rPr>
          <w:rFonts w:ascii="Calibri" w:hAnsi="Calibri" w:eastAsia="仿宋_GB2312" w:cs="Times New Roman"/>
          <w:sz w:val="32"/>
          <w:szCs w:val="32"/>
        </w:rPr>
      </w:pPr>
      <w:r>
        <w:rPr>
          <w:rFonts w:hint="eastAsia" w:ascii="Calibri" w:hAnsi="Calibri" w:eastAsia="仿宋_GB2312" w:cs="Times New Roman"/>
          <w:sz w:val="32"/>
          <w:szCs w:val="32"/>
        </w:rPr>
        <w:t>协同组织人事部门，对学员在校期间进行考核考察。</w:t>
      </w:r>
    </w:p>
    <w:p>
      <w:pPr>
        <w:numPr>
          <w:ilvl w:val="0"/>
          <w:numId w:val="1"/>
        </w:numPr>
        <w:autoSpaceDE w:val="0"/>
        <w:autoSpaceDN w:val="0"/>
        <w:snapToGrid w:val="0"/>
        <w:spacing w:line="584" w:lineRule="exact"/>
        <w:ind w:firstLine="640" w:firstLineChars="200"/>
        <w:rPr>
          <w:rFonts w:ascii="Calibri" w:hAnsi="Calibri" w:eastAsia="仿宋_GB2312" w:cs="Times New Roman"/>
          <w:sz w:val="32"/>
          <w:szCs w:val="32"/>
        </w:rPr>
      </w:pPr>
      <w:r>
        <w:rPr>
          <w:rFonts w:hint="eastAsia" w:ascii="Calibri" w:hAnsi="Calibri" w:eastAsia="仿宋_GB2312" w:cs="Times New Roman"/>
          <w:sz w:val="32"/>
          <w:szCs w:val="32"/>
        </w:rPr>
        <w:t>围绕国际国内出现的新情况、新问题，开展教学研究。</w:t>
      </w:r>
    </w:p>
    <w:p>
      <w:pPr>
        <w:numPr>
          <w:ilvl w:val="0"/>
          <w:numId w:val="1"/>
        </w:numPr>
        <w:autoSpaceDE w:val="0"/>
        <w:autoSpaceDN w:val="0"/>
        <w:snapToGrid w:val="0"/>
        <w:spacing w:line="584" w:lineRule="exact"/>
        <w:ind w:firstLine="640" w:firstLineChars="200"/>
        <w:rPr>
          <w:rFonts w:ascii="Calibri" w:hAnsi="Calibri" w:eastAsia="仿宋_GB2312" w:cs="Times New Roman"/>
          <w:sz w:val="32"/>
          <w:szCs w:val="32"/>
        </w:rPr>
      </w:pPr>
      <w:r>
        <w:rPr>
          <w:rFonts w:hint="eastAsia" w:ascii="Calibri" w:hAnsi="Calibri" w:eastAsia="仿宋_GB2312" w:cs="Times New Roman"/>
          <w:sz w:val="32"/>
          <w:szCs w:val="32"/>
        </w:rPr>
        <w:t>宣传马克思列宁主义、毛泽东思想、邓小平理论，宣传建设有中国特色社会主义理论和党的路线、方针、政策。</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w:t>
      </w:r>
      <w:r>
        <w:rPr>
          <w:rFonts w:hint="eastAsia" w:ascii="仿宋_GB2312" w:eastAsia="仿宋_GB2312" w:cs="ArialUnicodeMS" w:hAnsiTheme="minorHAnsi"/>
          <w:kern w:val="0"/>
          <w:sz w:val="32"/>
          <w:szCs w:val="32"/>
          <w:lang w:val="en-US" w:eastAsia="zh-CN"/>
        </w:rPr>
        <w:t>1</w:t>
      </w:r>
      <w:r>
        <w:rPr>
          <w:rFonts w:hint="eastAsia" w:ascii="仿宋_GB2312" w:eastAsia="仿宋_GB2312" w:cs="ArialUnicodeMS" w:hAnsiTheme="minorHAnsi"/>
          <w:kern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895"/>
        <w:gridCol w:w="2520"/>
        <w:gridCol w:w="2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89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520"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180"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895"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中国共产党大城县委员会党校</w:t>
            </w:r>
          </w:p>
        </w:tc>
        <w:tc>
          <w:tcPr>
            <w:tcW w:w="2520"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财政补助事业单位</w:t>
            </w:r>
          </w:p>
        </w:tc>
        <w:tc>
          <w:tcPr>
            <w:tcW w:w="2180" w:type="dxa"/>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895" w:type="dxa"/>
          </w:tcPr>
          <w:p>
            <w:pPr>
              <w:spacing w:after="0" w:line="560" w:lineRule="exact"/>
              <w:rPr>
                <w:rFonts w:ascii="仿宋_GB2312" w:eastAsia="仿宋_GB2312" w:cs="ArialUnicodeMS" w:hAnsiTheme="minorHAnsi"/>
                <w:kern w:val="0"/>
                <w:sz w:val="28"/>
                <w:szCs w:val="28"/>
              </w:rPr>
            </w:pPr>
          </w:p>
        </w:tc>
        <w:tc>
          <w:tcPr>
            <w:tcW w:w="2520" w:type="dxa"/>
          </w:tcPr>
          <w:p>
            <w:pPr>
              <w:spacing w:after="0" w:line="560" w:lineRule="exact"/>
              <w:jc w:val="center"/>
              <w:rPr>
                <w:rFonts w:ascii="仿宋_GB2312" w:eastAsia="仿宋_GB2312" w:cs="ArialUnicodeMS" w:hAnsiTheme="minorHAnsi"/>
                <w:kern w:val="0"/>
                <w:sz w:val="28"/>
                <w:szCs w:val="28"/>
              </w:rPr>
            </w:pPr>
          </w:p>
        </w:tc>
        <w:tc>
          <w:tcPr>
            <w:tcW w:w="2180"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895" w:type="dxa"/>
          </w:tcPr>
          <w:p>
            <w:pPr>
              <w:spacing w:after="0" w:line="560" w:lineRule="exact"/>
              <w:rPr>
                <w:rFonts w:ascii="仿宋_GB2312" w:eastAsia="仿宋_GB2312" w:cs="ArialUnicodeMS" w:hAnsiTheme="minorHAnsi"/>
                <w:kern w:val="0"/>
                <w:sz w:val="28"/>
                <w:szCs w:val="28"/>
              </w:rPr>
            </w:pPr>
          </w:p>
        </w:tc>
        <w:tc>
          <w:tcPr>
            <w:tcW w:w="2520" w:type="dxa"/>
          </w:tcPr>
          <w:p>
            <w:pPr>
              <w:spacing w:after="0" w:line="560" w:lineRule="exact"/>
              <w:jc w:val="center"/>
              <w:rPr>
                <w:rFonts w:ascii="仿宋_GB2312" w:eastAsia="仿宋_GB2312" w:cs="ArialUnicodeMS" w:hAnsiTheme="minorHAnsi"/>
                <w:kern w:val="0"/>
                <w:sz w:val="28"/>
                <w:szCs w:val="28"/>
              </w:rPr>
            </w:pPr>
          </w:p>
        </w:tc>
        <w:tc>
          <w:tcPr>
            <w:tcW w:w="2180"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w:t>
            </w:r>
          </w:p>
        </w:tc>
        <w:tc>
          <w:tcPr>
            <w:tcW w:w="3895" w:type="dxa"/>
            <w:tcBorders>
              <w:bottom w:val="single" w:color="auto" w:sz="4" w:space="0"/>
            </w:tcBorders>
          </w:tcPr>
          <w:p>
            <w:pPr>
              <w:spacing w:after="0" w:line="560" w:lineRule="exact"/>
              <w:rPr>
                <w:rFonts w:ascii="仿宋_GB2312" w:eastAsia="仿宋_GB2312" w:cs="ArialUnicodeMS" w:hAnsiTheme="minorHAnsi"/>
                <w:kern w:val="0"/>
                <w:sz w:val="28"/>
                <w:szCs w:val="28"/>
              </w:rPr>
            </w:pPr>
          </w:p>
        </w:tc>
        <w:tc>
          <w:tcPr>
            <w:tcW w:w="2520"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c>
          <w:tcPr>
            <w:tcW w:w="2180"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jc w:val="left"/>
              <w:rPr>
                <w:rFonts w:ascii="仿宋_GB2312" w:eastAsia="仿宋_GB2312" w:cs="ArialUnicodeMS" w:hAnsiTheme="minorHAnsi"/>
                <w:kern w:val="0"/>
                <w:sz w:val="28"/>
                <w:szCs w:val="28"/>
              </w:rPr>
            </w:pPr>
          </w:p>
        </w:tc>
      </w:tr>
    </w:tbl>
    <w:p>
      <w:pPr>
        <w:widowControl/>
        <w:spacing w:line="560" w:lineRule="exact"/>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1200" w:lineRule="exact"/>
        <w:jc w:val="center"/>
        <w:rPr>
          <w:rFonts w:hAnsi="宋体" w:asciiTheme="minorEastAsia" w:eastAsiaTheme="minorEastAsia"/>
          <w:color w:val="000000" w:themeColor="text1"/>
          <w:sz w:val="72"/>
          <w:szCs w:val="96"/>
        </w:rPr>
      </w:pPr>
    </w:p>
    <w:p>
      <w:pPr>
        <w:widowControl/>
        <w:spacing w:line="1200" w:lineRule="exact"/>
        <w:jc w:val="center"/>
        <w:rPr>
          <w:rFonts w:hAnsi="宋体" w:asciiTheme="minorEastAsia" w:eastAsiaTheme="minorEastAsia"/>
          <w:color w:val="000000" w:themeColor="text1"/>
          <w:sz w:val="72"/>
          <w:szCs w:val="96"/>
        </w:rPr>
      </w:pPr>
    </w:p>
    <w:p>
      <w:pPr>
        <w:widowControl/>
        <w:spacing w:line="1200" w:lineRule="exact"/>
        <w:jc w:val="center"/>
        <w:rPr>
          <w:rFonts w:hAnsi="宋体" w:asciiTheme="minorEastAsia" w:eastAsiaTheme="minorEastAsia"/>
          <w:color w:val="000000" w:themeColor="text1"/>
          <w:sz w:val="72"/>
          <w:szCs w:val="96"/>
        </w:rPr>
      </w:pPr>
    </w:p>
    <w:p>
      <w:pPr>
        <w:widowControl/>
        <w:spacing w:line="1200" w:lineRule="exact"/>
        <w:jc w:val="center"/>
        <w:rPr>
          <w:rFonts w:hAnsi="宋体" w:asciiTheme="minorEastAsia" w:eastAsiaTheme="minorEastAsia"/>
          <w:color w:val="000000" w:themeColor="text1"/>
          <w:sz w:val="72"/>
          <w:szCs w:val="96"/>
        </w:rPr>
      </w:pPr>
      <w:r>
        <w:rPr>
          <w:rFonts w:hint="eastAsia" w:hAnsi="宋体" w:asciiTheme="minorEastAsia" w:eastAsiaTheme="minorEastAsia"/>
          <w:color w:val="000000" w:themeColor="text1"/>
          <w:sz w:val="72"/>
          <w:szCs w:val="96"/>
        </w:rPr>
        <w:t>第二部分</w:t>
      </w:r>
    </w:p>
    <w:p>
      <w:pPr>
        <w:widowControl/>
        <w:spacing w:line="1200" w:lineRule="exact"/>
        <w:jc w:val="center"/>
        <w:rPr>
          <w:color w:val="000000" w:themeColor="text1"/>
          <w:sz w:val="72"/>
          <w:szCs w:val="96"/>
        </w:rPr>
      </w:pPr>
      <w:r>
        <w:rPr>
          <w:rFonts w:hint="eastAsia" w:hAnsi="宋体" w:asciiTheme="minorEastAsia" w:eastAsiaTheme="minorEastAsia"/>
          <w:color w:val="000000" w:themeColor="text1"/>
          <w:sz w:val="72"/>
          <w:szCs w:val="96"/>
        </w:rPr>
        <w:t>2018年度部门决算报表</w:t>
      </w:r>
    </w:p>
    <w:p>
      <w:pPr>
        <w:widowControl/>
        <w:spacing w:line="560" w:lineRule="exact"/>
        <w:jc w:val="center"/>
        <w:rPr>
          <w:rFonts w:hint="eastAsia" w:ascii="黑体" w:eastAsia="黑体" w:cs="MS-UIGothic,Bold" w:hAnsiTheme="minorHAnsi"/>
          <w:bCs/>
          <w:kern w:val="0"/>
          <w:sz w:val="52"/>
          <w:szCs w:val="52"/>
          <w:lang w:val="en-US" w:eastAsia="zh-CN"/>
        </w:rPr>
      </w:pPr>
    </w:p>
    <w:p>
      <w:pPr>
        <w:widowControl/>
        <w:spacing w:line="560" w:lineRule="exact"/>
        <w:jc w:val="center"/>
        <w:rPr>
          <w:rFonts w:hint="eastAsia" w:ascii="黑体" w:eastAsia="黑体" w:cs="MS-UIGothic,Bold" w:hAnsiTheme="minorHAnsi"/>
          <w:bCs/>
          <w:kern w:val="0"/>
          <w:sz w:val="52"/>
          <w:szCs w:val="52"/>
          <w:lang w:val="en-US" w:eastAsia="zh-CN"/>
        </w:rPr>
      </w:pPr>
      <w:r>
        <w:rPr>
          <w:rFonts w:hint="eastAsia" w:ascii="黑体" w:eastAsia="黑体" w:cs="MS-UIGothic,Bold" w:hAnsiTheme="minorHAnsi"/>
          <w:bCs/>
          <w:kern w:val="0"/>
          <w:sz w:val="52"/>
          <w:szCs w:val="52"/>
          <w:lang w:val="en-US" w:eastAsia="zh-CN"/>
        </w:rPr>
        <w:t>见附件</w:t>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p>
      <w:pPr>
        <w:widowControl/>
        <w:spacing w:line="1200" w:lineRule="exact"/>
        <w:jc w:val="both"/>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r>
        <w:rPr>
          <w:rFonts w:hint="eastAsia" w:hAnsi="宋体" w:asciiTheme="minorEastAsia" w:eastAsiaTheme="minorEastAsia"/>
          <w:color w:val="000000" w:themeColor="text1"/>
          <w:sz w:val="96"/>
          <w:szCs w:val="96"/>
        </w:rPr>
        <w:t>第三部分</w:t>
      </w:r>
    </w:p>
    <w:p>
      <w:pPr>
        <w:widowControl/>
        <w:spacing w:line="1200" w:lineRule="exact"/>
        <w:jc w:val="center"/>
        <w:rPr>
          <w:color w:val="000000" w:themeColor="text1"/>
          <w:sz w:val="96"/>
          <w:szCs w:val="96"/>
        </w:rPr>
      </w:pPr>
      <w:r>
        <w:rPr>
          <w:rFonts w:hint="eastAsia" w:hAnsi="宋体" w:asciiTheme="minorEastAsia" w:eastAsiaTheme="minorEastAsia"/>
          <w:color w:val="000000" w:themeColor="text1"/>
          <w:sz w:val="96"/>
          <w:szCs w:val="96"/>
        </w:rPr>
        <w:t>部门决算情况说明</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本部门2018年度收</w:t>
      </w:r>
      <w:r>
        <w:rPr>
          <w:rFonts w:hint="eastAsia" w:ascii="仿宋" w:hAnsi="仿宋" w:eastAsia="仿宋" w:cs="仿宋"/>
          <w:sz w:val="32"/>
          <w:szCs w:val="32"/>
          <w:lang w:eastAsia="zh-CN"/>
        </w:rPr>
        <w:t>入</w:t>
      </w:r>
      <w:r>
        <w:rPr>
          <w:rFonts w:hint="eastAsia" w:ascii="仿宋" w:hAnsi="仿宋" w:eastAsia="仿宋" w:cs="仿宋"/>
          <w:sz w:val="32"/>
          <w:szCs w:val="32"/>
        </w:rPr>
        <w:t>总计（含结转和结余）</w:t>
      </w:r>
      <w:r>
        <w:rPr>
          <w:rFonts w:hint="eastAsia" w:ascii="仿宋" w:hAnsi="仿宋" w:eastAsia="仿宋" w:cs="仿宋"/>
          <w:sz w:val="32"/>
          <w:szCs w:val="32"/>
          <w:lang w:val="en-US" w:eastAsia="zh-CN"/>
        </w:rPr>
        <w:t>355.15</w:t>
      </w:r>
      <w:r>
        <w:rPr>
          <w:rFonts w:hint="eastAsia" w:ascii="仿宋" w:hAnsi="仿宋" w:eastAsia="仿宋" w:cs="仿宋"/>
          <w:sz w:val="32"/>
          <w:szCs w:val="32"/>
        </w:rPr>
        <w:t>万元</w:t>
      </w:r>
      <w:r>
        <w:rPr>
          <w:rFonts w:hint="eastAsia" w:ascii="仿宋" w:hAnsi="仿宋" w:eastAsia="仿宋" w:cs="仿宋"/>
          <w:sz w:val="32"/>
          <w:szCs w:val="32"/>
          <w:lang w:eastAsia="zh-CN"/>
        </w:rPr>
        <w:t>，支出总计</w:t>
      </w:r>
      <w:r>
        <w:rPr>
          <w:rFonts w:hint="eastAsia" w:ascii="仿宋" w:hAnsi="仿宋" w:eastAsia="仿宋" w:cs="仿宋"/>
          <w:sz w:val="32"/>
          <w:szCs w:val="32"/>
          <w:lang w:val="en-US" w:eastAsia="zh-CN"/>
        </w:rPr>
        <w:t>348.86万元</w:t>
      </w:r>
      <w:r>
        <w:rPr>
          <w:rFonts w:hint="eastAsia" w:ascii="仿宋" w:hAnsi="仿宋" w:eastAsia="仿宋" w:cs="仿宋"/>
          <w:sz w:val="32"/>
          <w:szCs w:val="32"/>
        </w:rPr>
        <w:t>。与2017年度决算相比，收</w:t>
      </w:r>
      <w:r>
        <w:rPr>
          <w:rFonts w:hint="eastAsia" w:ascii="仿宋" w:hAnsi="仿宋" w:eastAsia="仿宋" w:cs="仿宋"/>
          <w:sz w:val="32"/>
          <w:szCs w:val="32"/>
          <w:lang w:eastAsia="zh-CN"/>
        </w:rPr>
        <w:t>入</w:t>
      </w:r>
      <w:r>
        <w:rPr>
          <w:rFonts w:hint="eastAsia" w:ascii="仿宋" w:hAnsi="仿宋" w:eastAsia="仿宋" w:cs="仿宋"/>
          <w:sz w:val="32"/>
          <w:szCs w:val="32"/>
        </w:rPr>
        <w:t>增加</w:t>
      </w:r>
      <w:r>
        <w:rPr>
          <w:rFonts w:hint="eastAsia" w:ascii="仿宋" w:hAnsi="仿宋" w:eastAsia="仿宋" w:cs="仿宋"/>
          <w:sz w:val="32"/>
          <w:szCs w:val="32"/>
          <w:lang w:val="en-US" w:eastAsia="zh-CN"/>
        </w:rPr>
        <w:t>74.30</w:t>
      </w:r>
      <w:r>
        <w:rPr>
          <w:rFonts w:hint="eastAsia" w:ascii="仿宋" w:hAnsi="仿宋" w:eastAsia="仿宋" w:cs="仿宋"/>
          <w:sz w:val="32"/>
          <w:szCs w:val="32"/>
        </w:rPr>
        <w:t>万元，增长</w:t>
      </w:r>
      <w:r>
        <w:rPr>
          <w:rFonts w:hint="eastAsia" w:ascii="仿宋" w:hAnsi="仿宋" w:eastAsia="仿宋" w:cs="仿宋"/>
          <w:sz w:val="32"/>
          <w:szCs w:val="32"/>
          <w:lang w:val="en-US" w:eastAsia="zh-CN"/>
        </w:rPr>
        <w:t>26.45</w:t>
      </w:r>
      <w:r>
        <w:rPr>
          <w:rFonts w:hint="eastAsia" w:ascii="仿宋" w:hAnsi="仿宋" w:eastAsia="仿宋" w:cs="仿宋"/>
          <w:sz w:val="32"/>
          <w:szCs w:val="32"/>
        </w:rPr>
        <w:t>%，主要是工资及福利支出有所增加</w:t>
      </w:r>
      <w:r>
        <w:rPr>
          <w:rFonts w:hint="eastAsia" w:ascii="仿宋" w:hAnsi="仿宋" w:eastAsia="仿宋" w:cs="仿宋"/>
          <w:sz w:val="32"/>
          <w:szCs w:val="32"/>
          <w:lang w:eastAsia="zh-CN"/>
        </w:rPr>
        <w:t>并且增加了图书购置及变压器安装两个项目</w:t>
      </w:r>
      <w:r>
        <w:rPr>
          <w:rFonts w:hint="eastAsia" w:ascii="仿宋" w:hAnsi="仿宋" w:eastAsia="仿宋" w:cs="仿宋"/>
          <w:sz w:val="32"/>
          <w:szCs w:val="32"/>
        </w:rPr>
        <w:t>。</w:t>
      </w:r>
      <w:r>
        <w:rPr>
          <w:rFonts w:hint="eastAsia" w:ascii="仿宋" w:hAnsi="仿宋" w:eastAsia="仿宋" w:cs="仿宋"/>
          <w:sz w:val="32"/>
          <w:szCs w:val="32"/>
          <w:lang w:eastAsia="zh-CN"/>
        </w:rPr>
        <w:t>支出增加</w:t>
      </w:r>
      <w:r>
        <w:rPr>
          <w:rFonts w:hint="eastAsia" w:ascii="仿宋" w:hAnsi="仿宋" w:eastAsia="仿宋" w:cs="仿宋"/>
          <w:sz w:val="32"/>
          <w:szCs w:val="32"/>
          <w:lang w:val="en-US" w:eastAsia="zh-CN"/>
        </w:rPr>
        <w:t>68.01万元，增长24.22%，</w:t>
      </w:r>
      <w:r>
        <w:rPr>
          <w:rFonts w:hint="eastAsia" w:ascii="仿宋" w:hAnsi="仿宋" w:eastAsia="仿宋" w:cs="仿宋"/>
          <w:sz w:val="32"/>
          <w:szCs w:val="32"/>
        </w:rPr>
        <w:t>主要是工资及福利支出有所增加</w:t>
      </w:r>
      <w:r>
        <w:rPr>
          <w:rFonts w:hint="eastAsia" w:ascii="仿宋" w:hAnsi="仿宋" w:eastAsia="仿宋" w:cs="仿宋"/>
          <w:sz w:val="32"/>
          <w:szCs w:val="32"/>
          <w:lang w:eastAsia="zh-CN"/>
        </w:rPr>
        <w:t>并且增加了图书购置及变压器安装两个项目</w:t>
      </w:r>
      <w:r>
        <w:rPr>
          <w:rFonts w:hint="eastAsia" w:ascii="仿宋" w:hAnsi="仿宋" w:eastAsia="仿宋" w:cs="仿宋"/>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本部门2018年度本年收入合计</w:t>
      </w:r>
      <w:r>
        <w:rPr>
          <w:rFonts w:hint="eastAsia" w:ascii="仿宋" w:hAnsi="仿宋" w:eastAsia="仿宋" w:cs="仿宋"/>
          <w:sz w:val="32"/>
          <w:szCs w:val="32"/>
          <w:lang w:val="en-US" w:eastAsia="zh-CN"/>
        </w:rPr>
        <w:t>355.15</w:t>
      </w:r>
      <w:r>
        <w:rPr>
          <w:rFonts w:hint="eastAsia" w:ascii="仿宋" w:hAnsi="仿宋" w:eastAsia="仿宋" w:cs="仿宋"/>
          <w:sz w:val="32"/>
          <w:szCs w:val="32"/>
        </w:rPr>
        <w:t>万元，其中：财政拨款收入</w:t>
      </w:r>
      <w:r>
        <w:rPr>
          <w:rFonts w:hint="eastAsia" w:ascii="仿宋" w:hAnsi="仿宋" w:eastAsia="仿宋" w:cs="仿宋"/>
          <w:sz w:val="32"/>
          <w:szCs w:val="32"/>
          <w:lang w:val="en-US" w:eastAsia="zh-CN"/>
        </w:rPr>
        <w:t>355.15</w:t>
      </w:r>
      <w:r>
        <w:rPr>
          <w:rFonts w:hint="eastAsia" w:ascii="仿宋" w:hAnsi="仿宋" w:eastAsia="仿宋" w:cs="仿宋"/>
          <w:sz w:val="32"/>
          <w:szCs w:val="32"/>
        </w:rPr>
        <w:t>万元，占</w:t>
      </w:r>
      <w:r>
        <w:rPr>
          <w:rFonts w:hint="eastAsia" w:ascii="仿宋" w:hAnsi="仿宋" w:eastAsia="仿宋" w:cs="仿宋"/>
          <w:sz w:val="32"/>
          <w:szCs w:val="32"/>
          <w:lang w:val="en-US" w:eastAsia="zh-CN"/>
        </w:rPr>
        <w:t>100</w:t>
      </w:r>
      <w:r>
        <w:rPr>
          <w:rFonts w:hint="eastAsia" w:ascii="仿宋" w:hAnsi="仿宋" w:eastAsia="仿宋" w:cs="仿宋"/>
          <w:sz w:val="32"/>
          <w:szCs w:val="32"/>
        </w:rPr>
        <w:t>%。如图所示：</w:t>
      </w:r>
    </w:p>
    <w:p>
      <w:pPr>
        <w:adjustRightInd w:val="0"/>
        <w:snapToGrid w:val="0"/>
        <w:spacing w:line="584" w:lineRule="exact"/>
        <w:jc w:val="center"/>
        <w:rPr>
          <w:rFonts w:hint="eastAsia" w:ascii="仿宋" w:hAnsi="仿宋" w:eastAsia="仿宋" w:cs="仿宋"/>
          <w:sz w:val="32"/>
          <w:szCs w:val="32"/>
        </w:rPr>
      </w:pPr>
      <w:r>
        <w:rPr>
          <w:rFonts w:hint="eastAsia" w:ascii="仿宋" w:hAnsi="仿宋" w:eastAsia="仿宋" w:cs="仿宋"/>
          <w:sz w:val="32"/>
          <w:szCs w:val="32"/>
        </w:rPr>
        <w:t>图1：收入决算结构饼状图</w:t>
      </w:r>
    </w:p>
    <w:p>
      <w:pPr>
        <w:jc w:val="center"/>
        <w:rPr>
          <w:rFonts w:hint="eastAsia" w:ascii="黑体" w:eastAsia="黑体" w:hAnsiTheme="majorHAnsi" w:cstheme="majorBidi"/>
          <w:sz w:val="32"/>
          <w:szCs w:val="32"/>
          <w:lang w:eastAsia="zh-CN"/>
        </w:rPr>
      </w:pPr>
      <w:r>
        <w:rPr>
          <w:sz w:val="32"/>
        </w:rPr>
        <mc:AlternateContent>
          <mc:Choice Requires="wps">
            <w:drawing>
              <wp:anchor distT="0" distB="0" distL="114300" distR="114300" simplePos="0" relativeHeight="251659264" behindDoc="0" locked="0" layoutInCell="1" allowOverlap="1">
                <wp:simplePos x="0" y="0"/>
                <wp:positionH relativeFrom="column">
                  <wp:posOffset>1453515</wp:posOffset>
                </wp:positionH>
                <wp:positionV relativeFrom="paragraph">
                  <wp:posOffset>217805</wp:posOffset>
                </wp:positionV>
                <wp:extent cx="2910840" cy="2785745"/>
                <wp:effectExtent l="4445" t="4445" r="10795" b="13970"/>
                <wp:wrapNone/>
                <wp:docPr id="3" name="椭圆 4"/>
                <wp:cNvGraphicFramePr/>
                <a:graphic xmlns:a="http://schemas.openxmlformats.org/drawingml/2006/main">
                  <a:graphicData uri="http://schemas.microsoft.com/office/word/2010/wordprocessingShape">
                    <wps:wsp>
                      <wps:cNvSpPr/>
                      <wps:spPr>
                        <a:xfrm>
                          <a:off x="0" y="0"/>
                          <a:ext cx="2910840" cy="2785745"/>
                        </a:xfrm>
                        <a:prstGeom prst="ellipse">
                          <a:avLst/>
                        </a:prstGeom>
                        <a:solidFill>
                          <a:srgbClr val="FF0000"/>
                        </a:solidFill>
                        <a:ln w="9525" cap="flat" cmpd="sng">
                          <a:solidFill>
                            <a:srgbClr val="000000"/>
                          </a:solidFill>
                          <a:prstDash val="solid"/>
                          <a:headEnd type="none" w="med" len="med"/>
                          <a:tailEnd type="none" w="med" len="med"/>
                        </a:ln>
                      </wps:spPr>
                      <wps:txbx>
                        <w:txbxContent>
                          <w:p>
                            <w:pPr>
                              <w:jc w:val="center"/>
                              <w:rPr>
                                <w:rFonts w:hint="eastAsia"/>
                                <w:lang w:eastAsia="zh-CN"/>
                              </w:rPr>
                            </w:pPr>
                          </w:p>
                          <w:p>
                            <w:pPr>
                              <w:jc w:val="center"/>
                              <w:rPr>
                                <w:rFonts w:hint="default" w:eastAsia="宋体"/>
                                <w:lang w:val="en-US" w:eastAsia="zh-CN"/>
                              </w:rPr>
                            </w:pPr>
                            <w:r>
                              <w:rPr>
                                <w:rFonts w:hint="eastAsia"/>
                                <w:lang w:eastAsia="zh-CN"/>
                              </w:rPr>
                              <w:t>财政收入</w:t>
                            </w:r>
                            <w:r>
                              <w:rPr>
                                <w:rFonts w:hint="eastAsia"/>
                                <w:lang w:val="en-US" w:eastAsia="zh-CN"/>
                              </w:rPr>
                              <w:t>100%</w:t>
                            </w:r>
                          </w:p>
                        </w:txbxContent>
                      </wps:txbx>
                      <wps:bodyPr upright="1"/>
                    </wps:wsp>
                  </a:graphicData>
                </a:graphic>
              </wp:anchor>
            </w:drawing>
          </mc:Choice>
          <mc:Fallback>
            <w:pict>
              <v:shape id="椭圆 4" o:spid="_x0000_s1026" o:spt="3" type="#_x0000_t3" style="position:absolute;left:0pt;margin-left:114.45pt;margin-top:17.15pt;height:219.35pt;width:229.2pt;z-index:251659264;mso-width-relative:page;mso-height-relative:page;" fillcolor="#FF0000" filled="t" stroked="t" coordsize="21600,21600" o:gfxdata="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R/2ZvZAAAACgEAAA8AAAAAAAAAAQAgAAAAIgAAAGRycy9k&#10;b3ducmV2LnhtbFBLAQIUABQAAAAIAIdO4kDmG6QhAQIAACMEAAAOAAAAAAAAAAEAIAAAACgBAABk&#10;cnMvZTJvRG9jLnhtbFBLBQYAAAAABgAGAFkBAACbBQAAAAA=&#10;">
                <v:fill on="t" focussize="0,0"/>
                <v:stroke color="#000000" joinstyle="round"/>
                <v:imagedata o:title=""/>
                <o:lock v:ext="edit" aspectratio="f"/>
                <v:textbox>
                  <w:txbxContent>
                    <w:p>
                      <w:pPr>
                        <w:jc w:val="center"/>
                        <w:rPr>
                          <w:rFonts w:hint="eastAsia"/>
                          <w:lang w:eastAsia="zh-CN"/>
                        </w:rPr>
                      </w:pPr>
                    </w:p>
                    <w:p>
                      <w:pPr>
                        <w:jc w:val="center"/>
                        <w:rPr>
                          <w:rFonts w:hint="default" w:eastAsia="宋体"/>
                          <w:lang w:val="en-US" w:eastAsia="zh-CN"/>
                        </w:rPr>
                      </w:pPr>
                      <w:r>
                        <w:rPr>
                          <w:rFonts w:hint="eastAsia"/>
                          <w:lang w:eastAsia="zh-CN"/>
                        </w:rPr>
                        <w:t>财政收入</w:t>
                      </w:r>
                      <w:r>
                        <w:rPr>
                          <w:rFonts w:hint="eastAsia"/>
                          <w:lang w:val="en-US" w:eastAsia="zh-CN"/>
                        </w:rPr>
                        <w:t>100%</w:t>
                      </w:r>
                    </w:p>
                  </w:txbxContent>
                </v:textbox>
              </v:shape>
            </w:pict>
          </mc:Fallback>
        </mc:AlternateContent>
      </w:r>
    </w:p>
    <w:p>
      <w:pPr>
        <w:rPr>
          <w:rFonts w:ascii="黑体" w:eastAsia="黑体" w:hAnsiTheme="majorHAnsi" w:cstheme="majorBidi"/>
          <w:sz w:val="32"/>
          <w:szCs w:val="32"/>
        </w:rPr>
      </w:pPr>
    </w:p>
    <w:p>
      <w:pPr>
        <w:rPr>
          <w:rFonts w:ascii="黑体" w:eastAsia="黑体" w:hAnsiTheme="majorHAnsi" w:cstheme="majorBidi"/>
          <w:sz w:val="32"/>
          <w:szCs w:val="32"/>
        </w:rPr>
      </w:pPr>
    </w:p>
    <w:p/>
    <w:p>
      <w:pPr>
        <w:pStyle w:val="3"/>
        <w:spacing w:before="0" w:after="0" w:line="580" w:lineRule="exact"/>
        <w:ind w:firstLine="640" w:firstLineChars="200"/>
        <w:rPr>
          <w:rFonts w:hint="eastAsia" w:ascii="黑体" w:eastAsia="黑体"/>
          <w:b w:val="0"/>
          <w:bCs w:val="0"/>
        </w:rPr>
      </w:pPr>
    </w:p>
    <w:p>
      <w:pPr>
        <w:pStyle w:val="3"/>
        <w:spacing w:before="0" w:after="0" w:line="580" w:lineRule="exact"/>
        <w:ind w:firstLine="640" w:firstLineChars="200"/>
        <w:rPr>
          <w:rFonts w:hint="eastAsia" w:ascii="黑体" w:eastAsia="黑体"/>
          <w:b w:val="0"/>
          <w:bCs w:val="0"/>
        </w:rPr>
      </w:pPr>
    </w:p>
    <w:p>
      <w:pPr>
        <w:pStyle w:val="3"/>
        <w:spacing w:before="0" w:after="0" w:line="580" w:lineRule="exact"/>
        <w:rPr>
          <w:rFonts w:hint="eastAsia" w:ascii="黑体" w:eastAsia="黑体"/>
          <w:b w:val="0"/>
          <w:bCs w:val="0"/>
        </w:rPr>
      </w:pPr>
    </w:p>
    <w:p>
      <w:pPr>
        <w:rPr>
          <w:rFonts w:hint="eastAsia"/>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本部门2018年度本年支出合计</w:t>
      </w:r>
      <w:r>
        <w:rPr>
          <w:rFonts w:hint="eastAsia" w:ascii="仿宋" w:hAnsi="仿宋" w:eastAsia="仿宋" w:cs="仿宋"/>
          <w:sz w:val="32"/>
          <w:szCs w:val="32"/>
          <w:lang w:val="en-US" w:eastAsia="zh-CN"/>
        </w:rPr>
        <w:t>348.86</w:t>
      </w:r>
      <w:r>
        <w:rPr>
          <w:rFonts w:hint="eastAsia" w:ascii="仿宋" w:hAnsi="仿宋" w:eastAsia="仿宋" w:cs="仿宋"/>
          <w:sz w:val="32"/>
          <w:szCs w:val="32"/>
        </w:rPr>
        <w:t>万元，其中：基本支出</w:t>
      </w:r>
      <w:r>
        <w:rPr>
          <w:rFonts w:hint="eastAsia" w:ascii="仿宋" w:hAnsi="仿宋" w:eastAsia="仿宋" w:cs="仿宋"/>
          <w:sz w:val="32"/>
          <w:szCs w:val="32"/>
          <w:lang w:val="en-US" w:eastAsia="zh-CN"/>
        </w:rPr>
        <w:t>256.38</w:t>
      </w:r>
      <w:r>
        <w:rPr>
          <w:rFonts w:hint="eastAsia" w:ascii="仿宋" w:hAnsi="仿宋" w:eastAsia="仿宋" w:cs="仿宋"/>
          <w:sz w:val="32"/>
          <w:szCs w:val="32"/>
        </w:rPr>
        <w:t>万元，占</w:t>
      </w:r>
      <w:r>
        <w:rPr>
          <w:rFonts w:hint="eastAsia" w:ascii="仿宋" w:hAnsi="仿宋" w:eastAsia="仿宋" w:cs="仿宋"/>
          <w:sz w:val="32"/>
          <w:szCs w:val="32"/>
          <w:lang w:val="en-US" w:eastAsia="zh-CN"/>
        </w:rPr>
        <w:t>73.49</w:t>
      </w:r>
      <w:r>
        <w:rPr>
          <w:rFonts w:hint="eastAsia" w:ascii="仿宋" w:hAnsi="仿宋" w:eastAsia="仿宋" w:cs="仿宋"/>
          <w:sz w:val="32"/>
          <w:szCs w:val="32"/>
        </w:rPr>
        <w:t>%；项目支出</w:t>
      </w:r>
      <w:r>
        <w:rPr>
          <w:rFonts w:hint="eastAsia" w:ascii="仿宋" w:hAnsi="仿宋" w:eastAsia="仿宋" w:cs="仿宋"/>
          <w:sz w:val="32"/>
          <w:szCs w:val="32"/>
          <w:lang w:val="en-US" w:eastAsia="zh-CN"/>
        </w:rPr>
        <w:t>92.48</w:t>
      </w:r>
      <w:r>
        <w:rPr>
          <w:rFonts w:hint="eastAsia" w:ascii="仿宋" w:hAnsi="仿宋" w:eastAsia="仿宋" w:cs="仿宋"/>
          <w:sz w:val="32"/>
          <w:szCs w:val="32"/>
        </w:rPr>
        <w:t>万元，占</w:t>
      </w:r>
      <w:r>
        <w:rPr>
          <w:rFonts w:hint="eastAsia" w:ascii="仿宋" w:hAnsi="仿宋" w:eastAsia="仿宋" w:cs="仿宋"/>
          <w:sz w:val="32"/>
          <w:szCs w:val="32"/>
          <w:lang w:val="en-US" w:eastAsia="zh-CN"/>
        </w:rPr>
        <w:t>26.51</w:t>
      </w:r>
      <w:r>
        <w:rPr>
          <w:rFonts w:hint="eastAsia" w:ascii="仿宋" w:hAnsi="仿宋" w:eastAsia="仿宋" w:cs="仿宋"/>
          <w:sz w:val="32"/>
          <w:szCs w:val="32"/>
        </w:rPr>
        <w:t>%。如图所示：</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图2：支出决算结构饼状图</w:t>
      </w:r>
    </w:p>
    <w:p>
      <w:pPr>
        <w:adjustRightInd w:val="0"/>
        <w:snapToGrid w:val="0"/>
        <w:spacing w:after="0" w:line="580" w:lineRule="exact"/>
        <w:rPr>
          <w:rFonts w:ascii="仿宋_GB2312" w:eastAsia="仿宋_GB2312" w:cs="DengXian-Regular"/>
          <w:sz w:val="32"/>
          <w:szCs w:val="32"/>
        </w:rPr>
      </w:pPr>
      <w:r>
        <w:rPr>
          <w:rFonts w:hint="eastAsia" w:ascii="黑体" w:eastAsia="黑体"/>
          <w:b w:val="0"/>
          <w:bCs w:val="0"/>
          <w:lang w:eastAsia="zh-CN"/>
        </w:rPr>
        <w:drawing>
          <wp:anchor distT="0" distB="0" distL="114300" distR="114300" simplePos="0" relativeHeight="251662336" behindDoc="0" locked="0" layoutInCell="1" allowOverlap="1">
            <wp:simplePos x="0" y="0"/>
            <wp:positionH relativeFrom="column">
              <wp:posOffset>1062355</wp:posOffset>
            </wp:positionH>
            <wp:positionV relativeFrom="paragraph">
              <wp:posOffset>182245</wp:posOffset>
            </wp:positionV>
            <wp:extent cx="3712210" cy="2200275"/>
            <wp:effectExtent l="4445" t="4445" r="17145" b="5080"/>
            <wp:wrapNone/>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pPr>
        <w:pStyle w:val="3"/>
        <w:spacing w:before="0" w:after="0" w:line="580" w:lineRule="exact"/>
        <w:ind w:firstLine="640" w:firstLineChars="200"/>
        <w:rPr>
          <w:rFonts w:hint="eastAsia" w:ascii="黑体" w:eastAsia="黑体"/>
          <w:b w:val="0"/>
          <w:bCs w:val="0"/>
        </w:rPr>
      </w:pPr>
    </w:p>
    <w:p>
      <w:pPr>
        <w:pStyle w:val="3"/>
        <w:spacing w:before="0" w:after="0" w:line="580" w:lineRule="exact"/>
        <w:ind w:firstLine="640" w:firstLineChars="200"/>
        <w:rPr>
          <w:rFonts w:hint="eastAsia" w:ascii="黑体" w:eastAsia="黑体"/>
          <w:b w:val="0"/>
          <w:bCs w:val="0"/>
        </w:rPr>
      </w:pPr>
    </w:p>
    <w:p>
      <w:pPr>
        <w:pStyle w:val="3"/>
        <w:spacing w:before="0" w:after="0" w:line="580" w:lineRule="exact"/>
        <w:ind w:firstLine="640" w:firstLineChars="200"/>
        <w:rPr>
          <w:rFonts w:hint="eastAsia" w:ascii="黑体" w:eastAsia="黑体"/>
          <w:b w:val="0"/>
          <w:bCs w:val="0"/>
          <w:lang w:eastAsia="zh-CN"/>
        </w:rPr>
      </w:pPr>
    </w:p>
    <w:p>
      <w:pPr>
        <w:pStyle w:val="3"/>
        <w:spacing w:before="0" w:after="0" w:line="580" w:lineRule="exact"/>
        <w:ind w:firstLine="640" w:firstLineChars="200"/>
        <w:rPr>
          <w:rFonts w:hint="eastAsia" w:ascii="黑体" w:eastAsia="黑体"/>
          <w:b w:val="0"/>
          <w:bCs w:val="0"/>
        </w:rPr>
      </w:pPr>
    </w:p>
    <w:p>
      <w:pPr>
        <w:pStyle w:val="3"/>
        <w:spacing w:before="0" w:after="0" w:line="580" w:lineRule="exact"/>
        <w:ind w:firstLine="640" w:firstLineChars="200"/>
        <w:jc w:val="center"/>
        <w:rPr>
          <w:rFonts w:hint="eastAsia" w:ascii="黑体" w:eastAsia="黑体"/>
          <w:b w:val="0"/>
          <w:bCs w:val="0"/>
        </w:rPr>
      </w:pPr>
    </w:p>
    <w:p>
      <w:pPr>
        <w:pStyle w:val="3"/>
        <w:spacing w:before="0" w:after="0" w:line="580" w:lineRule="exact"/>
        <w:ind w:firstLine="640" w:firstLineChars="200"/>
        <w:rPr>
          <w:rFonts w:hint="eastAsia"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（一）财政拨款收支与2017年度决算对比情况</w:t>
      </w:r>
    </w:p>
    <w:p>
      <w:pPr>
        <w:adjustRightInd w:val="0"/>
        <w:snapToGrid w:val="0"/>
        <w:spacing w:after="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本部门2018年度形成的财政拨款收支均为一般公共预算财政拨款，其中一般公共预算财政拨款本年收入</w:t>
      </w:r>
      <w:r>
        <w:rPr>
          <w:rFonts w:hint="eastAsia" w:ascii="仿宋" w:hAnsi="仿宋" w:eastAsia="仿宋" w:cs="仿宋"/>
          <w:sz w:val="32"/>
          <w:szCs w:val="32"/>
          <w:lang w:val="en-US" w:eastAsia="zh-CN"/>
        </w:rPr>
        <w:t>355.15</w:t>
      </w:r>
      <w:r>
        <w:rPr>
          <w:rFonts w:hint="eastAsia" w:ascii="仿宋" w:hAnsi="仿宋" w:eastAsia="仿宋" w:cs="仿宋"/>
          <w:sz w:val="32"/>
          <w:szCs w:val="32"/>
        </w:rPr>
        <w:t>万元,比2017年度增加</w:t>
      </w:r>
      <w:r>
        <w:rPr>
          <w:rFonts w:hint="eastAsia" w:ascii="仿宋" w:hAnsi="仿宋" w:eastAsia="仿宋" w:cs="仿宋"/>
          <w:sz w:val="32"/>
          <w:szCs w:val="32"/>
          <w:lang w:val="en-US" w:eastAsia="zh-CN"/>
        </w:rPr>
        <w:t>74.30</w:t>
      </w:r>
      <w:r>
        <w:rPr>
          <w:rFonts w:hint="eastAsia" w:ascii="仿宋" w:hAnsi="仿宋" w:eastAsia="仿宋" w:cs="仿宋"/>
          <w:sz w:val="32"/>
          <w:szCs w:val="32"/>
        </w:rPr>
        <w:t>万元，增长</w:t>
      </w:r>
      <w:r>
        <w:rPr>
          <w:rFonts w:hint="eastAsia" w:ascii="仿宋" w:hAnsi="仿宋" w:eastAsia="仿宋" w:cs="仿宋"/>
          <w:sz w:val="32"/>
          <w:szCs w:val="32"/>
          <w:lang w:val="en-US" w:eastAsia="zh-CN"/>
        </w:rPr>
        <w:t>26.45</w:t>
      </w:r>
      <w:r>
        <w:rPr>
          <w:rFonts w:hint="eastAsia" w:ascii="仿宋" w:hAnsi="仿宋" w:eastAsia="仿宋" w:cs="仿宋"/>
          <w:sz w:val="32"/>
          <w:szCs w:val="32"/>
        </w:rPr>
        <w:t>%，主要是工资及福利支出有所增加</w:t>
      </w:r>
      <w:r>
        <w:rPr>
          <w:rFonts w:hint="eastAsia" w:ascii="仿宋" w:hAnsi="仿宋" w:eastAsia="仿宋" w:cs="仿宋"/>
          <w:sz w:val="32"/>
          <w:szCs w:val="32"/>
          <w:lang w:eastAsia="zh-CN"/>
        </w:rPr>
        <w:t>并且增加了图书购置及变压器安装两个项目</w:t>
      </w:r>
      <w:r>
        <w:rPr>
          <w:rFonts w:hint="eastAsia" w:ascii="仿宋" w:hAnsi="仿宋" w:eastAsia="仿宋" w:cs="仿宋"/>
          <w:sz w:val="32"/>
          <w:szCs w:val="32"/>
        </w:rPr>
        <w:t>；本年支出</w:t>
      </w:r>
      <w:r>
        <w:rPr>
          <w:rFonts w:hint="eastAsia" w:ascii="仿宋" w:hAnsi="仿宋" w:eastAsia="仿宋" w:cs="仿宋"/>
          <w:sz w:val="32"/>
          <w:szCs w:val="32"/>
          <w:lang w:val="en-US" w:eastAsia="zh-CN"/>
        </w:rPr>
        <w:t>348.86</w:t>
      </w:r>
      <w:r>
        <w:rPr>
          <w:rFonts w:hint="eastAsia" w:ascii="仿宋" w:hAnsi="仿宋" w:eastAsia="仿宋" w:cs="仿宋"/>
          <w:sz w:val="32"/>
          <w:szCs w:val="32"/>
        </w:rPr>
        <w:t>万元，增加</w:t>
      </w:r>
      <w:r>
        <w:rPr>
          <w:rFonts w:hint="eastAsia" w:ascii="仿宋" w:hAnsi="仿宋" w:eastAsia="仿宋" w:cs="仿宋"/>
          <w:sz w:val="32"/>
          <w:szCs w:val="32"/>
          <w:lang w:val="en-US" w:eastAsia="zh-CN"/>
        </w:rPr>
        <w:t>68.01</w:t>
      </w:r>
      <w:r>
        <w:rPr>
          <w:rFonts w:hint="eastAsia" w:ascii="仿宋" w:hAnsi="仿宋" w:eastAsia="仿宋" w:cs="仿宋"/>
          <w:sz w:val="32"/>
          <w:szCs w:val="32"/>
        </w:rPr>
        <w:t>万元，增长</w:t>
      </w:r>
      <w:r>
        <w:rPr>
          <w:rFonts w:hint="eastAsia" w:ascii="仿宋" w:hAnsi="仿宋" w:eastAsia="仿宋" w:cs="仿宋"/>
          <w:sz w:val="32"/>
          <w:szCs w:val="32"/>
          <w:lang w:val="en-US" w:eastAsia="zh-CN"/>
        </w:rPr>
        <w:t>24.21</w:t>
      </w:r>
      <w:r>
        <w:rPr>
          <w:rFonts w:hint="eastAsia" w:ascii="仿宋" w:hAnsi="仿宋" w:eastAsia="仿宋" w:cs="仿宋"/>
          <w:sz w:val="32"/>
          <w:szCs w:val="32"/>
        </w:rPr>
        <w:t>%，主要是工资及福利支出有所增加</w:t>
      </w:r>
      <w:r>
        <w:rPr>
          <w:rFonts w:hint="eastAsia" w:ascii="仿宋" w:hAnsi="仿宋" w:eastAsia="仿宋" w:cs="仿宋"/>
          <w:sz w:val="32"/>
          <w:szCs w:val="32"/>
          <w:lang w:eastAsia="zh-CN"/>
        </w:rPr>
        <w:t>并且增加了图书购置及变压器安装两个项目</w:t>
      </w:r>
      <w:r>
        <w:rPr>
          <w:rFonts w:hint="eastAsia" w:ascii="仿宋" w:hAnsi="仿宋" w:eastAsia="仿宋" w:cs="仿宋"/>
          <w:sz w:val="32"/>
          <w:szCs w:val="32"/>
        </w:rPr>
        <w:t>。</w:t>
      </w:r>
    </w:p>
    <w:p>
      <w:pPr>
        <w:adjustRightInd w:val="0"/>
        <w:snapToGrid w:val="0"/>
        <w:spacing w:after="0" w:line="580" w:lineRule="exact"/>
        <w:jc w:val="center"/>
        <w:rPr>
          <w:rFonts w:hint="eastAsia" w:ascii="仿宋" w:hAnsi="仿宋" w:eastAsia="仿宋" w:cs="仿宋"/>
          <w:sz w:val="32"/>
          <w:szCs w:val="32"/>
        </w:rPr>
      </w:pPr>
      <w:r>
        <w:rPr>
          <w:rFonts w:hint="eastAsia" w:ascii="仿宋" w:hAnsi="仿宋" w:eastAsia="仿宋" w:cs="仿宋"/>
          <w:sz w:val="32"/>
          <w:szCs w:val="32"/>
        </w:rPr>
        <w:t>图3：财政拨款收支情况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lang w:eastAsia="zh-CN"/>
        </w:rPr>
        <w:drawing>
          <wp:anchor distT="0" distB="0" distL="114300" distR="114300" simplePos="0" relativeHeight="251660288" behindDoc="0" locked="0" layoutInCell="1" allowOverlap="1">
            <wp:simplePos x="0" y="0"/>
            <wp:positionH relativeFrom="column">
              <wp:posOffset>420370</wp:posOffset>
            </wp:positionH>
            <wp:positionV relativeFrom="paragraph">
              <wp:posOffset>308610</wp:posOffset>
            </wp:positionV>
            <wp:extent cx="5080000" cy="3940810"/>
            <wp:effectExtent l="4445" t="4445" r="20955" b="17145"/>
            <wp:wrapSquare wrapText="bothSides"/>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hint="eastAsia" w:ascii="仿宋_GB2312" w:eastAsia="仿宋_GB2312" w:cs="DengXian-Regular"/>
          <w:sz w:val="32"/>
          <w:szCs w:val="32"/>
          <w:lang w:eastAsia="zh-CN"/>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rPr>
          <w:rFonts w:ascii="仿宋_GB2312" w:eastAsia="仿宋_GB2312" w:cs="DengXian-Regular"/>
          <w:sz w:val="32"/>
          <w:szCs w:val="32"/>
        </w:rPr>
      </w:pPr>
    </w:p>
    <w:p>
      <w:pPr>
        <w:adjustRightInd w:val="0"/>
        <w:snapToGrid w:val="0"/>
        <w:spacing w:after="0" w:line="580" w:lineRule="exact"/>
        <w:rPr>
          <w:rFonts w:ascii="仿宋_GB2312" w:eastAsia="仿宋_GB2312" w:cs="DengXian-Regular"/>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本部门2018年度一般公共预算财政拨款收入</w:t>
      </w:r>
      <w:r>
        <w:rPr>
          <w:rFonts w:hint="eastAsia" w:ascii="仿宋" w:hAnsi="仿宋" w:eastAsia="仿宋" w:cs="仿宋"/>
          <w:sz w:val="32"/>
          <w:szCs w:val="32"/>
          <w:lang w:val="en-US" w:eastAsia="zh-CN"/>
        </w:rPr>
        <w:t>355.15</w:t>
      </w:r>
      <w:r>
        <w:rPr>
          <w:rFonts w:hint="eastAsia" w:ascii="仿宋" w:hAnsi="仿宋" w:eastAsia="仿宋" w:cs="仿宋"/>
          <w:sz w:val="32"/>
          <w:szCs w:val="32"/>
        </w:rPr>
        <w:t>万元，完成年初预算的</w:t>
      </w:r>
      <w:r>
        <w:rPr>
          <w:rFonts w:hint="eastAsia" w:ascii="仿宋" w:hAnsi="仿宋" w:eastAsia="仿宋" w:cs="仿宋"/>
          <w:sz w:val="32"/>
          <w:szCs w:val="32"/>
          <w:lang w:val="en-US" w:eastAsia="zh-CN"/>
        </w:rPr>
        <w:t>127.72</w:t>
      </w:r>
      <w:r>
        <w:rPr>
          <w:rFonts w:hint="eastAsia" w:ascii="仿宋" w:hAnsi="仿宋" w:eastAsia="仿宋" w:cs="仿宋"/>
          <w:sz w:val="32"/>
          <w:szCs w:val="32"/>
        </w:rPr>
        <w:t>%,比年初预算增加</w:t>
      </w:r>
      <w:r>
        <w:rPr>
          <w:rFonts w:hint="eastAsia" w:ascii="仿宋" w:hAnsi="仿宋" w:eastAsia="仿宋" w:cs="仿宋"/>
          <w:sz w:val="32"/>
          <w:szCs w:val="32"/>
          <w:lang w:val="en-US" w:eastAsia="zh-CN"/>
        </w:rPr>
        <w:t>77.07</w:t>
      </w:r>
      <w:r>
        <w:rPr>
          <w:rFonts w:hint="eastAsia" w:ascii="仿宋" w:hAnsi="仿宋" w:eastAsia="仿宋" w:cs="仿宋"/>
          <w:sz w:val="32"/>
          <w:szCs w:val="32"/>
        </w:rPr>
        <w:t>万元，决算数大于预算数主要是</w:t>
      </w:r>
      <w:r>
        <w:rPr>
          <w:rFonts w:hint="eastAsia" w:ascii="仿宋" w:hAnsi="仿宋" w:eastAsia="仿宋" w:cs="仿宋"/>
          <w:sz w:val="32"/>
          <w:szCs w:val="32"/>
          <w:lang w:eastAsia="zh-CN"/>
        </w:rPr>
        <w:t>增加了图书购置及变压器安装两个项目</w:t>
      </w:r>
      <w:r>
        <w:rPr>
          <w:rFonts w:hint="eastAsia" w:ascii="仿宋" w:hAnsi="仿宋" w:eastAsia="仿宋" w:cs="仿宋"/>
          <w:sz w:val="32"/>
          <w:szCs w:val="32"/>
        </w:rPr>
        <w:t>；本年支出</w:t>
      </w:r>
      <w:r>
        <w:rPr>
          <w:rFonts w:hint="eastAsia" w:ascii="仿宋" w:hAnsi="仿宋" w:eastAsia="仿宋" w:cs="仿宋"/>
          <w:sz w:val="32"/>
          <w:szCs w:val="32"/>
          <w:lang w:val="en-US" w:eastAsia="zh-CN"/>
        </w:rPr>
        <w:t>348.86</w:t>
      </w:r>
      <w:r>
        <w:rPr>
          <w:rFonts w:hint="eastAsia" w:ascii="仿宋" w:hAnsi="仿宋" w:eastAsia="仿宋" w:cs="仿宋"/>
          <w:sz w:val="32"/>
          <w:szCs w:val="32"/>
        </w:rPr>
        <w:t>万元，完成年初预算的</w:t>
      </w:r>
      <w:r>
        <w:rPr>
          <w:rFonts w:hint="eastAsia" w:ascii="仿宋" w:hAnsi="仿宋" w:eastAsia="仿宋" w:cs="仿宋"/>
          <w:sz w:val="32"/>
          <w:szCs w:val="32"/>
          <w:lang w:val="en-US" w:eastAsia="zh-CN"/>
        </w:rPr>
        <w:t>125.45</w:t>
      </w:r>
      <w:r>
        <w:rPr>
          <w:rFonts w:hint="eastAsia" w:ascii="仿宋" w:hAnsi="仿宋" w:eastAsia="仿宋" w:cs="仿宋"/>
          <w:sz w:val="32"/>
          <w:szCs w:val="32"/>
        </w:rPr>
        <w:t>%,比年初预算增加</w:t>
      </w:r>
      <w:r>
        <w:rPr>
          <w:rFonts w:hint="eastAsia" w:ascii="仿宋" w:hAnsi="仿宋" w:eastAsia="仿宋" w:cs="仿宋"/>
          <w:sz w:val="32"/>
          <w:szCs w:val="32"/>
          <w:lang w:val="en-US" w:eastAsia="zh-CN"/>
        </w:rPr>
        <w:t>70.78</w:t>
      </w:r>
      <w:r>
        <w:rPr>
          <w:rFonts w:hint="eastAsia" w:ascii="仿宋" w:hAnsi="仿宋" w:eastAsia="仿宋" w:cs="仿宋"/>
          <w:sz w:val="32"/>
          <w:szCs w:val="32"/>
        </w:rPr>
        <w:t>万元，决算数大于预算数主要是</w:t>
      </w:r>
      <w:r>
        <w:rPr>
          <w:rFonts w:hint="eastAsia" w:ascii="仿宋" w:hAnsi="仿宋" w:eastAsia="仿宋" w:cs="仿宋"/>
          <w:sz w:val="32"/>
          <w:szCs w:val="32"/>
          <w:lang w:eastAsia="zh-CN"/>
        </w:rPr>
        <w:t>增加了图书购置及变压器安装两个项目</w:t>
      </w:r>
      <w:r>
        <w:rPr>
          <w:rFonts w:hint="eastAsia" w:ascii="仿宋" w:hAnsi="仿宋" w:eastAsia="仿宋" w:cs="仿宋"/>
          <w:sz w:val="32"/>
          <w:szCs w:val="32"/>
        </w:rPr>
        <w:t>。</w:t>
      </w:r>
    </w:p>
    <w:p>
      <w:pPr>
        <w:adjustRightInd w:val="0"/>
        <w:snapToGrid w:val="0"/>
        <w:spacing w:after="0" w:line="580" w:lineRule="exact"/>
        <w:jc w:val="center"/>
        <w:rPr>
          <w:rFonts w:hint="eastAsia" w:ascii="仿宋" w:hAnsi="仿宋" w:eastAsia="仿宋" w:cs="仿宋"/>
          <w:sz w:val="32"/>
          <w:szCs w:val="32"/>
        </w:rPr>
      </w:pPr>
      <w:r>
        <w:rPr>
          <w:rFonts w:hint="eastAsia" w:ascii="仿宋" w:hAnsi="仿宋" w:eastAsia="仿宋" w:cs="仿宋"/>
          <w:sz w:val="32"/>
          <w:szCs w:val="32"/>
        </w:rPr>
        <w:t>图4：财政拨款收支预决算对比情况</w:t>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highlight w:val="yellow"/>
          <w:lang w:eastAsia="zh-CN"/>
        </w:rPr>
        <w:drawing>
          <wp:anchor distT="0" distB="0" distL="114300" distR="114300" simplePos="0" relativeHeight="251661312" behindDoc="0" locked="0" layoutInCell="1" allowOverlap="1">
            <wp:simplePos x="0" y="0"/>
            <wp:positionH relativeFrom="column">
              <wp:posOffset>350520</wp:posOffset>
            </wp:positionH>
            <wp:positionV relativeFrom="paragraph">
              <wp:posOffset>88265</wp:posOffset>
            </wp:positionV>
            <wp:extent cx="5080000" cy="3810000"/>
            <wp:effectExtent l="4445" t="4445" r="20955" b="14605"/>
            <wp:wrapSquare wrapText="bothSides"/>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hint="eastAsia" w:ascii="仿宋_GB2312" w:eastAsia="仿宋_GB2312" w:cs="DengXian-Regular"/>
          <w:sz w:val="32"/>
          <w:szCs w:val="32"/>
          <w:highlight w:val="yellow"/>
          <w:lang w:eastAsia="zh-CN"/>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hint="eastAsia" w:ascii="仿宋_GB2312" w:eastAsia="仿宋_GB2312" w:cs="DengXian-Regular"/>
          <w:sz w:val="32"/>
          <w:szCs w:val="32"/>
          <w:highlight w:val="yellow"/>
          <w:lang w:eastAsia="zh-CN"/>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hint="eastAsia" w:ascii="仿宋_GB2312" w:eastAsia="仿宋_GB2312" w:cs="DengXian-Regular"/>
          <w:sz w:val="32"/>
          <w:szCs w:val="32"/>
          <w:highlight w:val="yellow"/>
          <w:lang w:eastAsia="zh-CN"/>
        </w:rPr>
      </w:pPr>
    </w:p>
    <w:p>
      <w:pPr>
        <w:adjustRightInd w:val="0"/>
        <w:snapToGrid w:val="0"/>
        <w:spacing w:after="0" w:line="580" w:lineRule="exact"/>
        <w:ind w:firstLine="640" w:firstLineChars="200"/>
        <w:jc w:val="center"/>
        <w:rPr>
          <w:rFonts w:ascii="仿宋_GB2312" w:eastAsia="仿宋_GB2312" w:cs="DengXian-Regular"/>
          <w:sz w:val="32"/>
          <w:szCs w:val="32"/>
          <w:highlight w:val="yellow"/>
        </w:rPr>
      </w:pPr>
    </w:p>
    <w:p>
      <w:pPr>
        <w:adjustRightInd w:val="0"/>
        <w:snapToGrid w:val="0"/>
        <w:spacing w:after="0" w:line="580" w:lineRule="exact"/>
        <w:ind w:firstLine="640" w:firstLineChars="200"/>
        <w:rPr>
          <w:rFonts w:hint="eastAsia" w:ascii="仿宋_GB2312" w:eastAsia="仿宋_GB2312" w:cs="DengXian-Regular"/>
          <w:sz w:val="32"/>
          <w:szCs w:val="32"/>
          <w:highlight w:val="yellow"/>
          <w:lang w:eastAsia="zh-CN"/>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rPr>
          <w:rFonts w:ascii="仿宋_GB2312" w:eastAsia="仿宋_GB2312" w:cs="DengXian-Regular"/>
          <w:sz w:val="32"/>
          <w:szCs w:val="32"/>
          <w:highlight w:val="yellow"/>
        </w:rPr>
      </w:pPr>
    </w:p>
    <w:p>
      <w:pPr>
        <w:numPr>
          <w:ilvl w:val="0"/>
          <w:numId w:val="2"/>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2018年度财政拨款支出</w:t>
      </w:r>
      <w:r>
        <w:rPr>
          <w:rFonts w:hint="eastAsia" w:ascii="仿宋_GB2312" w:eastAsia="仿宋_GB2312" w:cs="DengXian-Regular"/>
          <w:sz w:val="32"/>
          <w:szCs w:val="32"/>
          <w:lang w:val="en-US" w:eastAsia="zh-CN"/>
        </w:rPr>
        <w:t>355.15</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lang w:eastAsia="zh-CN"/>
        </w:rPr>
        <w:t>：</w:t>
      </w:r>
      <w:r>
        <w:rPr>
          <w:rFonts w:hint="eastAsia" w:ascii="仿宋_GB2312" w:eastAsia="仿宋_GB2312" w:cs="DengXian-Regular"/>
          <w:sz w:val="32"/>
          <w:szCs w:val="32"/>
        </w:rPr>
        <w:t>教育（类）支出</w:t>
      </w:r>
      <w:r>
        <w:rPr>
          <w:rFonts w:hint="eastAsia" w:ascii="仿宋_GB2312" w:eastAsia="仿宋_GB2312" w:cs="DengXian-Regular"/>
          <w:sz w:val="32"/>
          <w:szCs w:val="32"/>
          <w:lang w:val="en-US" w:eastAsia="zh-CN"/>
        </w:rPr>
        <w:t>355.15</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w:t>
      </w:r>
      <w:r>
        <w:rPr>
          <w:rFonts w:hint="eastAsia" w:ascii="仿宋_GB2312" w:eastAsia="仿宋_GB2312" w:cs="DengXian-Regular"/>
          <w:sz w:val="32"/>
          <w:szCs w:val="32"/>
        </w:rPr>
        <w:t>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w:t>
      </w:r>
      <w:r>
        <w:rPr>
          <w:rFonts w:hint="eastAsia" w:ascii="仿宋_GB2312" w:eastAsia="仿宋_GB2312" w:cs="DengXian-Regular"/>
          <w:sz w:val="32"/>
          <w:szCs w:val="32"/>
          <w:lang w:eastAsia="zh-CN"/>
        </w:rPr>
        <w:t>。</w:t>
      </w:r>
    </w:p>
    <w:p>
      <w:pPr>
        <w:adjustRightInd w:val="0"/>
        <w:snapToGrid w:val="0"/>
        <w:spacing w:after="0" w:line="580" w:lineRule="exact"/>
        <w:jc w:val="center"/>
        <w:rPr>
          <w:rFonts w:ascii="楷体_GB2312" w:eastAsia="楷体_GB2312" w:cs="DengXian-Bold"/>
          <w:b/>
          <w:bCs/>
          <w:sz w:val="32"/>
          <w:szCs w:val="32"/>
        </w:rPr>
      </w:pPr>
      <w:r>
        <w:rPr>
          <w:rFonts w:hint="eastAsia" w:eastAsia="仿宋_GB2312"/>
          <w:sz w:val="32"/>
          <w:szCs w:val="32"/>
        </w:rPr>
        <w:t>图5：财政拨款支出决算结构（按功能分类）</w:t>
      </w:r>
    </w:p>
    <w:p>
      <w:pPr>
        <w:adjustRightInd w:val="0"/>
        <w:snapToGrid w:val="0"/>
        <w:spacing w:after="0" w:line="580" w:lineRule="exact"/>
        <w:rPr>
          <w:rFonts w:ascii="楷体_GB2312" w:eastAsia="楷体_GB2312" w:cs="DengXian-Bold"/>
          <w:b/>
          <w:bCs/>
          <w:sz w:val="32"/>
          <w:szCs w:val="32"/>
        </w:rPr>
      </w:pPr>
      <w:r>
        <w:rPr>
          <w:sz w:val="32"/>
        </w:rPr>
        <mc:AlternateContent>
          <mc:Choice Requires="wps">
            <w:drawing>
              <wp:anchor distT="0" distB="0" distL="114300" distR="114300" simplePos="0" relativeHeight="251663360" behindDoc="0" locked="0" layoutInCell="1" allowOverlap="1">
                <wp:simplePos x="0" y="0"/>
                <wp:positionH relativeFrom="column">
                  <wp:posOffset>2033905</wp:posOffset>
                </wp:positionH>
                <wp:positionV relativeFrom="paragraph">
                  <wp:posOffset>203835</wp:posOffset>
                </wp:positionV>
                <wp:extent cx="2018665" cy="2163445"/>
                <wp:effectExtent l="4445" t="4445" r="19050" b="11430"/>
                <wp:wrapNone/>
                <wp:docPr id="4" name="椭圆 27"/>
                <wp:cNvGraphicFramePr/>
                <a:graphic xmlns:a="http://schemas.openxmlformats.org/drawingml/2006/main">
                  <a:graphicData uri="http://schemas.microsoft.com/office/word/2010/wordprocessingShape">
                    <wps:wsp>
                      <wps:cNvSpPr/>
                      <wps:spPr>
                        <a:xfrm>
                          <a:off x="0" y="0"/>
                          <a:ext cx="2018665" cy="2163445"/>
                        </a:xfrm>
                        <a:prstGeom prst="ellipse">
                          <a:avLst/>
                        </a:prstGeom>
                        <a:solidFill>
                          <a:srgbClr val="FF0000"/>
                        </a:solidFill>
                        <a:ln w="9525" cap="flat" cmpd="sng">
                          <a:solidFill>
                            <a:srgbClr val="000000"/>
                          </a:solidFill>
                          <a:prstDash val="solid"/>
                          <a:headEnd type="none" w="med" len="med"/>
                          <a:tailEnd type="none" w="med" len="med"/>
                        </a:ln>
                      </wps:spPr>
                      <wps:txbx>
                        <w:txbxContent>
                          <w:p>
                            <w:pPr>
                              <w:jc w:val="center"/>
                              <w:rPr>
                                <w:rFonts w:hint="eastAsia"/>
                                <w:lang w:eastAsia="zh-CN"/>
                              </w:rPr>
                            </w:pPr>
                          </w:p>
                          <w:p>
                            <w:pPr>
                              <w:jc w:val="center"/>
                              <w:rPr>
                                <w:rFonts w:hint="default" w:eastAsia="宋体"/>
                                <w:lang w:val="en-US" w:eastAsia="zh-CN"/>
                              </w:rPr>
                            </w:pPr>
                            <w:r>
                              <w:rPr>
                                <w:rFonts w:hint="eastAsia"/>
                                <w:lang w:eastAsia="zh-CN"/>
                              </w:rPr>
                              <w:t>教育</w:t>
                            </w:r>
                            <w:r>
                              <w:rPr>
                                <w:rFonts w:hint="eastAsia"/>
                                <w:lang w:val="en-US" w:eastAsia="zh-CN"/>
                              </w:rPr>
                              <w:t>(类)支出100%</w:t>
                            </w:r>
                          </w:p>
                        </w:txbxContent>
                      </wps:txbx>
                      <wps:bodyPr upright="1"/>
                    </wps:wsp>
                  </a:graphicData>
                </a:graphic>
              </wp:anchor>
            </w:drawing>
          </mc:Choice>
          <mc:Fallback>
            <w:pict>
              <v:shape id="椭圆 27" o:spid="_x0000_s1026" o:spt="3" type="#_x0000_t3" style="position:absolute;left:0pt;margin-left:160.15pt;margin-top:16.05pt;height:170.35pt;width:158.95pt;z-index:251663360;mso-width-relative:page;mso-height-relative:page;" fillcolor="#FF0000" filled="t" stroked="t" coordsize="21600,21600" o:gfxdata="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VfvsH2AAAAAoBAAAPAAAAAAAAAAEAIAAAACIAAABkcnMvZG93&#10;bnJldi54bWxQSwECFAAUAAAACACHTuJAihbNVgACAAAkBAAADgAAAAAAAAABACAAAAAnAQAAZHJz&#10;L2Uyb0RvYy54bWxQSwUGAAAAAAYABgBZAQAAmQUAAAAA&#10;">
                <v:fill on="t" focussize="0,0"/>
                <v:stroke color="#000000" joinstyle="round"/>
                <v:imagedata o:title=""/>
                <o:lock v:ext="edit" aspectratio="f"/>
                <v:textbox>
                  <w:txbxContent>
                    <w:p>
                      <w:pPr>
                        <w:jc w:val="center"/>
                        <w:rPr>
                          <w:rFonts w:hint="eastAsia"/>
                          <w:lang w:eastAsia="zh-CN"/>
                        </w:rPr>
                      </w:pPr>
                    </w:p>
                    <w:p>
                      <w:pPr>
                        <w:jc w:val="center"/>
                        <w:rPr>
                          <w:rFonts w:hint="default" w:eastAsia="宋体"/>
                          <w:lang w:val="en-US" w:eastAsia="zh-CN"/>
                        </w:rPr>
                      </w:pPr>
                      <w:r>
                        <w:rPr>
                          <w:rFonts w:hint="eastAsia"/>
                          <w:lang w:eastAsia="zh-CN"/>
                        </w:rPr>
                        <w:t>教育</w:t>
                      </w:r>
                      <w:r>
                        <w:rPr>
                          <w:rFonts w:hint="eastAsia"/>
                          <w:lang w:val="en-US" w:eastAsia="zh-CN"/>
                        </w:rPr>
                        <w:t>(类)支出100%</w:t>
                      </w:r>
                    </w:p>
                  </w:txbxContent>
                </v:textbox>
              </v:shape>
            </w:pict>
          </mc:Fallback>
        </mc:AlternateContent>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hint="eastAsia" w:ascii="楷体_GB2312" w:eastAsia="楷体_GB2312" w:cs="DengXian-Bold"/>
          <w:b/>
          <w:bCs/>
          <w:sz w:val="32"/>
          <w:szCs w:val="32"/>
        </w:rPr>
      </w:pPr>
    </w:p>
    <w:p>
      <w:pPr>
        <w:adjustRightInd w:val="0"/>
        <w:snapToGrid w:val="0"/>
        <w:spacing w:after="0" w:line="580" w:lineRule="exact"/>
        <w:ind w:left="420" w:leftChars="200"/>
        <w:rPr>
          <w:rFonts w:hint="eastAsia" w:ascii="楷体_GB2312" w:eastAsia="楷体_GB2312" w:cs="DengXian-Bold"/>
          <w:b/>
          <w:bCs/>
          <w:sz w:val="32"/>
          <w:szCs w:val="32"/>
        </w:rPr>
      </w:pPr>
    </w:p>
    <w:p>
      <w:pPr>
        <w:adjustRightInd w:val="0"/>
        <w:snapToGrid w:val="0"/>
        <w:spacing w:after="0" w:line="580" w:lineRule="exact"/>
        <w:ind w:left="420" w:leftChars="200"/>
        <w:rPr>
          <w:rFonts w:hint="eastAsia"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2018年度一般公共预算财政拨款基本支出</w:t>
      </w:r>
      <w:r>
        <w:rPr>
          <w:rFonts w:hint="eastAsia" w:ascii="仿宋" w:hAnsi="仿宋" w:eastAsia="仿宋" w:cs="仿宋"/>
          <w:sz w:val="32"/>
          <w:szCs w:val="32"/>
          <w:lang w:val="en-US" w:eastAsia="zh-CN"/>
        </w:rPr>
        <w:t>254.94</w:t>
      </w:r>
      <w:r>
        <w:rPr>
          <w:rFonts w:hint="eastAsia" w:ascii="仿宋" w:hAnsi="仿宋" w:eastAsia="仿宋" w:cs="仿宋"/>
          <w:sz w:val="32"/>
          <w:szCs w:val="32"/>
        </w:rPr>
        <w:t>万元，其中</w:t>
      </w:r>
      <w:r>
        <w:rPr>
          <w:rFonts w:hint="eastAsia" w:ascii="仿宋" w:hAnsi="仿宋" w:eastAsia="仿宋" w:cs="仿宋"/>
          <w:sz w:val="32"/>
          <w:szCs w:val="32"/>
          <w:lang w:eastAsia="zh-CN"/>
        </w:rPr>
        <w:t>：</w:t>
      </w:r>
      <w:r>
        <w:rPr>
          <w:rFonts w:hint="eastAsia" w:ascii="仿宋" w:hAnsi="仿宋" w:eastAsia="仿宋" w:cs="仿宋"/>
          <w:sz w:val="32"/>
          <w:szCs w:val="32"/>
        </w:rPr>
        <w:t xml:space="preserve">人员经费 </w:t>
      </w:r>
      <w:r>
        <w:rPr>
          <w:rFonts w:hint="eastAsia" w:ascii="仿宋" w:hAnsi="仿宋" w:eastAsia="仿宋" w:cs="仿宋"/>
          <w:sz w:val="32"/>
          <w:szCs w:val="32"/>
          <w:lang w:val="en-US" w:eastAsia="zh-CN"/>
        </w:rPr>
        <w:t>233.01</w:t>
      </w:r>
      <w:r>
        <w:rPr>
          <w:rFonts w:hint="eastAsia" w:ascii="仿宋" w:hAnsi="仿宋" w:eastAsia="仿宋" w:cs="仿宋"/>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等；公用经费</w:t>
      </w:r>
      <w:r>
        <w:rPr>
          <w:rFonts w:hint="eastAsia" w:ascii="仿宋" w:hAnsi="仿宋" w:eastAsia="仿宋" w:cs="仿宋"/>
          <w:sz w:val="32"/>
          <w:szCs w:val="32"/>
          <w:lang w:val="en-US" w:eastAsia="zh-CN"/>
        </w:rPr>
        <w:t>21.93</w:t>
      </w:r>
      <w:r>
        <w:rPr>
          <w:rFonts w:hint="eastAsia" w:ascii="仿宋" w:hAnsi="仿宋" w:eastAsia="仿宋" w:cs="仿宋"/>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等。</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line="584" w:lineRule="exact"/>
        <w:ind w:firstLine="640" w:firstLineChars="200"/>
        <w:rPr>
          <w:rFonts w:hint="eastAsia" w:ascii="仿宋" w:hAnsi="仿宋" w:eastAsia="仿宋" w:cs="仿宋"/>
          <w:sz w:val="32"/>
          <w:szCs w:val="32"/>
          <w:highlight w:val="yellow"/>
        </w:rPr>
      </w:pPr>
      <w:r>
        <w:rPr>
          <w:rFonts w:hint="eastAsia" w:ascii="仿宋" w:hAnsi="仿宋" w:eastAsia="仿宋" w:cs="仿宋"/>
          <w:sz w:val="32"/>
          <w:szCs w:val="32"/>
        </w:rPr>
        <w:t>本部门2018年度一般公共预算财政拨款“三公”经费支出共计</w:t>
      </w:r>
      <w:r>
        <w:rPr>
          <w:rFonts w:hint="eastAsia" w:ascii="仿宋" w:hAnsi="仿宋" w:eastAsia="仿宋" w:cs="仿宋"/>
          <w:sz w:val="32"/>
          <w:szCs w:val="32"/>
          <w:lang w:val="en-US" w:eastAsia="zh-CN"/>
        </w:rPr>
        <w:t>3.94</w:t>
      </w:r>
      <w:r>
        <w:rPr>
          <w:rFonts w:hint="eastAsia" w:ascii="仿宋" w:hAnsi="仿宋" w:eastAsia="仿宋" w:cs="仿宋"/>
          <w:sz w:val="32"/>
          <w:szCs w:val="32"/>
        </w:rPr>
        <w:t>万元，比年初预算减少</w:t>
      </w:r>
      <w:r>
        <w:rPr>
          <w:rFonts w:hint="eastAsia" w:ascii="仿宋" w:hAnsi="仿宋" w:eastAsia="仿宋" w:cs="仿宋"/>
          <w:sz w:val="32"/>
          <w:szCs w:val="32"/>
          <w:lang w:val="en-US" w:eastAsia="zh-CN"/>
        </w:rPr>
        <w:t>0.06</w:t>
      </w:r>
      <w:r>
        <w:rPr>
          <w:rFonts w:hint="eastAsia" w:ascii="仿宋" w:hAnsi="仿宋" w:eastAsia="仿宋" w:cs="仿宋"/>
          <w:sz w:val="32"/>
          <w:szCs w:val="32"/>
        </w:rPr>
        <w:t>万元，降低</w:t>
      </w:r>
      <w:r>
        <w:rPr>
          <w:rFonts w:hint="eastAsia" w:ascii="仿宋" w:hAnsi="仿宋" w:eastAsia="仿宋" w:cs="仿宋"/>
          <w:sz w:val="32"/>
          <w:szCs w:val="32"/>
          <w:lang w:val="en-US" w:eastAsia="zh-CN"/>
        </w:rPr>
        <w:t>1.5</w:t>
      </w:r>
      <w:r>
        <w:rPr>
          <w:rFonts w:hint="eastAsia" w:ascii="仿宋" w:hAnsi="仿宋" w:eastAsia="仿宋" w:cs="仿宋"/>
          <w:sz w:val="32"/>
          <w:szCs w:val="32"/>
        </w:rPr>
        <w:t>%，主要是坚持厉行节约，反对浪费；比2017年度决算减少</w:t>
      </w:r>
      <w:r>
        <w:rPr>
          <w:rFonts w:hint="eastAsia" w:ascii="仿宋" w:hAnsi="仿宋" w:eastAsia="仿宋" w:cs="仿宋"/>
          <w:sz w:val="32"/>
          <w:szCs w:val="32"/>
          <w:lang w:val="en-US" w:eastAsia="zh-CN"/>
        </w:rPr>
        <w:t>0.5</w:t>
      </w:r>
      <w:r>
        <w:rPr>
          <w:rFonts w:hint="eastAsia" w:ascii="仿宋" w:hAnsi="仿宋" w:eastAsia="仿宋" w:cs="仿宋"/>
          <w:sz w:val="32"/>
          <w:szCs w:val="32"/>
        </w:rPr>
        <w:t>万元，降低</w:t>
      </w:r>
      <w:r>
        <w:rPr>
          <w:rFonts w:hint="eastAsia" w:ascii="仿宋" w:hAnsi="仿宋" w:eastAsia="仿宋" w:cs="仿宋"/>
          <w:sz w:val="32"/>
          <w:szCs w:val="32"/>
          <w:lang w:val="en-US" w:eastAsia="zh-CN"/>
        </w:rPr>
        <w:t>11.26</w:t>
      </w:r>
      <w:r>
        <w:rPr>
          <w:rFonts w:hint="eastAsia" w:ascii="仿宋" w:hAnsi="仿宋" w:eastAsia="仿宋" w:cs="仿宋"/>
          <w:sz w:val="32"/>
          <w:szCs w:val="32"/>
        </w:rPr>
        <w:t>%，主要是坚持厉行节约，反对浪费。具体情况如下：</w:t>
      </w:r>
    </w:p>
    <w:p>
      <w:pPr>
        <w:adjustRightInd w:val="0"/>
        <w:snapToGrid w:val="0"/>
        <w:spacing w:line="584" w:lineRule="exact"/>
        <w:ind w:firstLine="643" w:firstLineChars="200"/>
        <w:rPr>
          <w:rFonts w:hint="eastAsia" w:ascii="仿宋" w:hAnsi="仿宋" w:eastAsia="仿宋" w:cs="仿宋"/>
          <w:sz w:val="32"/>
          <w:szCs w:val="32"/>
          <w:highlight w:val="yellow"/>
        </w:rPr>
      </w:pPr>
      <w:r>
        <w:rPr>
          <w:rFonts w:eastAsia="楷体_GB2312"/>
          <w:b/>
          <w:bCs/>
          <w:sz w:val="32"/>
          <w:szCs w:val="32"/>
        </w:rPr>
        <w:t>（一）因公出国（境）费支出</w:t>
      </w:r>
      <w:r>
        <w:rPr>
          <w:rFonts w:hint="eastAsia" w:eastAsia="楷体_GB2312"/>
          <w:b/>
          <w:bCs/>
          <w:sz w:val="32"/>
          <w:szCs w:val="32"/>
          <w:lang w:val="en-US" w:eastAsia="zh-CN"/>
        </w:rPr>
        <w:t>0</w:t>
      </w:r>
      <w:r>
        <w:rPr>
          <w:rFonts w:eastAsia="楷体_GB2312"/>
          <w:b/>
          <w:bCs/>
          <w:sz w:val="32"/>
          <w:szCs w:val="32"/>
        </w:rPr>
        <w:t>万元。</w:t>
      </w:r>
      <w:r>
        <w:rPr>
          <w:rFonts w:hint="eastAsia" w:ascii="仿宋" w:hAnsi="仿宋" w:eastAsia="仿宋" w:cs="仿宋"/>
          <w:sz w:val="32"/>
          <w:szCs w:val="32"/>
        </w:rPr>
        <w:t>本部门2018年度因公出国（境）团组</w:t>
      </w:r>
      <w:r>
        <w:rPr>
          <w:rFonts w:hint="eastAsia" w:ascii="仿宋" w:hAnsi="仿宋" w:eastAsia="仿宋" w:cs="仿宋"/>
          <w:sz w:val="32"/>
          <w:szCs w:val="32"/>
          <w:lang w:val="en-US" w:eastAsia="zh-CN"/>
        </w:rPr>
        <w:t>0</w:t>
      </w:r>
      <w:r>
        <w:rPr>
          <w:rFonts w:hint="eastAsia" w:ascii="仿宋" w:hAnsi="仿宋" w:eastAsia="仿宋" w:cs="仿宋"/>
          <w:sz w:val="32"/>
          <w:szCs w:val="32"/>
        </w:rPr>
        <w:t>个、共</w:t>
      </w:r>
      <w:r>
        <w:rPr>
          <w:rFonts w:hint="eastAsia" w:ascii="仿宋" w:hAnsi="仿宋" w:eastAsia="仿宋" w:cs="仿宋"/>
          <w:sz w:val="32"/>
          <w:szCs w:val="32"/>
          <w:lang w:val="en-US" w:eastAsia="zh-CN"/>
        </w:rPr>
        <w:t>0</w:t>
      </w:r>
      <w:r>
        <w:rPr>
          <w:rFonts w:hint="eastAsia" w:ascii="仿宋" w:hAnsi="仿宋" w:eastAsia="仿宋" w:cs="仿宋"/>
          <w:sz w:val="32"/>
          <w:szCs w:val="32"/>
        </w:rPr>
        <w:t>人/参加其他单位组织的因公出国（境）团组</w:t>
      </w:r>
      <w:r>
        <w:rPr>
          <w:rFonts w:hint="eastAsia" w:ascii="仿宋" w:hAnsi="仿宋" w:eastAsia="仿宋" w:cs="仿宋"/>
          <w:sz w:val="32"/>
          <w:szCs w:val="32"/>
          <w:lang w:val="en-US" w:eastAsia="zh-CN"/>
        </w:rPr>
        <w:t>0</w:t>
      </w:r>
      <w:r>
        <w:rPr>
          <w:rFonts w:hint="eastAsia" w:ascii="仿宋" w:hAnsi="仿宋" w:eastAsia="仿宋" w:cs="仿宋"/>
          <w:sz w:val="32"/>
          <w:szCs w:val="32"/>
        </w:rPr>
        <w:t>个、共</w:t>
      </w:r>
      <w:r>
        <w:rPr>
          <w:rFonts w:hint="eastAsia" w:ascii="仿宋" w:hAnsi="仿宋" w:eastAsia="仿宋" w:cs="仿宋"/>
          <w:sz w:val="32"/>
          <w:szCs w:val="32"/>
          <w:lang w:val="en-US" w:eastAsia="zh-CN"/>
        </w:rPr>
        <w:t>0</w:t>
      </w:r>
      <w:r>
        <w:rPr>
          <w:rFonts w:hint="eastAsia" w:ascii="仿宋" w:hAnsi="仿宋" w:eastAsia="仿宋" w:cs="仿宋"/>
          <w:sz w:val="32"/>
          <w:szCs w:val="32"/>
        </w:rPr>
        <w:t>人/无本单位组织的出国（境）团组。因公出国（境）费支出比年初预算增加</w:t>
      </w:r>
      <w:r>
        <w:rPr>
          <w:rFonts w:hint="eastAsia" w:ascii="仿宋" w:hAnsi="仿宋" w:eastAsia="仿宋" w:cs="仿宋"/>
          <w:sz w:val="32"/>
          <w:szCs w:val="32"/>
          <w:lang w:val="en-US" w:eastAsia="zh-CN"/>
        </w:rPr>
        <w:t>0</w:t>
      </w:r>
      <w:r>
        <w:rPr>
          <w:rFonts w:hint="eastAsia" w:ascii="仿宋" w:hAnsi="仿宋" w:eastAsia="仿宋" w:cs="仿宋"/>
          <w:sz w:val="32"/>
          <w:szCs w:val="32"/>
        </w:rPr>
        <w:t>万元，增长</w:t>
      </w:r>
      <w:r>
        <w:rPr>
          <w:rFonts w:hint="eastAsia" w:ascii="仿宋" w:hAnsi="仿宋" w:eastAsia="仿宋" w:cs="仿宋"/>
          <w:sz w:val="32"/>
          <w:szCs w:val="32"/>
          <w:lang w:val="en-US" w:eastAsia="zh-CN"/>
        </w:rPr>
        <w:t>0</w:t>
      </w:r>
      <w:r>
        <w:rPr>
          <w:rFonts w:hint="eastAsia" w:ascii="仿宋" w:hAnsi="仿宋" w:eastAsia="仿宋" w:cs="仿宋"/>
          <w:sz w:val="32"/>
          <w:szCs w:val="32"/>
        </w:rPr>
        <w:t>%，主要是</w:t>
      </w:r>
      <w:r>
        <w:rPr>
          <w:rFonts w:hint="eastAsia" w:ascii="仿宋" w:hAnsi="仿宋" w:eastAsia="仿宋" w:cs="仿宋"/>
          <w:sz w:val="32"/>
          <w:szCs w:val="32"/>
          <w:lang w:eastAsia="zh-CN"/>
        </w:rPr>
        <w:t>无因公出国（境）费用</w:t>
      </w:r>
      <w:r>
        <w:rPr>
          <w:rFonts w:hint="eastAsia" w:ascii="仿宋" w:hAnsi="仿宋" w:eastAsia="仿宋" w:cs="仿宋"/>
          <w:sz w:val="32"/>
          <w:szCs w:val="32"/>
        </w:rPr>
        <w:t>；比2017年度决算增加</w:t>
      </w:r>
      <w:r>
        <w:rPr>
          <w:rFonts w:hint="eastAsia" w:ascii="仿宋" w:hAnsi="仿宋" w:eastAsia="仿宋" w:cs="仿宋"/>
          <w:sz w:val="32"/>
          <w:szCs w:val="32"/>
          <w:lang w:val="en-US" w:eastAsia="zh-CN"/>
        </w:rPr>
        <w:t>0</w:t>
      </w:r>
      <w:r>
        <w:rPr>
          <w:rFonts w:hint="eastAsia" w:ascii="仿宋" w:hAnsi="仿宋" w:eastAsia="仿宋" w:cs="仿宋"/>
          <w:sz w:val="32"/>
          <w:szCs w:val="32"/>
        </w:rPr>
        <w:t>万元，增长</w:t>
      </w:r>
      <w:r>
        <w:rPr>
          <w:rFonts w:hint="eastAsia" w:ascii="仿宋" w:hAnsi="仿宋" w:eastAsia="仿宋" w:cs="仿宋"/>
          <w:sz w:val="32"/>
          <w:szCs w:val="32"/>
          <w:lang w:val="en-US" w:eastAsia="zh-CN"/>
        </w:rPr>
        <w:t>0</w:t>
      </w:r>
      <w:r>
        <w:rPr>
          <w:rFonts w:hint="eastAsia" w:ascii="仿宋" w:hAnsi="仿宋" w:eastAsia="仿宋" w:cs="仿宋"/>
          <w:sz w:val="32"/>
          <w:szCs w:val="32"/>
        </w:rPr>
        <w:t>%，主要是</w:t>
      </w:r>
      <w:r>
        <w:rPr>
          <w:rFonts w:hint="eastAsia" w:ascii="仿宋" w:hAnsi="仿宋" w:eastAsia="仿宋" w:cs="仿宋"/>
          <w:sz w:val="32"/>
          <w:szCs w:val="32"/>
          <w:lang w:eastAsia="zh-CN"/>
        </w:rPr>
        <w:t>无因公出国（境）费用</w:t>
      </w:r>
      <w:r>
        <w:rPr>
          <w:rFonts w:hint="eastAsia" w:ascii="仿宋" w:hAnsi="仿宋" w:eastAsia="仿宋" w:cs="仿宋"/>
          <w:sz w:val="32"/>
          <w:szCs w:val="32"/>
        </w:rPr>
        <w:t>。</w:t>
      </w:r>
    </w:p>
    <w:p>
      <w:pPr>
        <w:adjustRightInd w:val="0"/>
        <w:snapToGrid w:val="0"/>
        <w:spacing w:line="584" w:lineRule="exact"/>
        <w:ind w:firstLine="643" w:firstLineChars="200"/>
        <w:rPr>
          <w:rFonts w:hint="eastAsia" w:ascii="仿宋" w:hAnsi="仿宋" w:eastAsia="仿宋" w:cs="仿宋"/>
          <w:b/>
          <w:bCs/>
          <w:sz w:val="32"/>
          <w:szCs w:val="32"/>
        </w:rPr>
      </w:pPr>
      <w:r>
        <w:rPr>
          <w:rFonts w:eastAsia="楷体_GB2312"/>
          <w:b/>
          <w:bCs/>
          <w:sz w:val="32"/>
          <w:szCs w:val="32"/>
        </w:rPr>
        <w:t>（二）公务用车购置及运行维护费支出</w:t>
      </w:r>
      <w:r>
        <w:rPr>
          <w:rFonts w:hint="eastAsia" w:eastAsia="楷体_GB2312"/>
          <w:b/>
          <w:bCs/>
          <w:sz w:val="32"/>
          <w:szCs w:val="32"/>
          <w:lang w:val="en-US" w:eastAsia="zh-CN"/>
        </w:rPr>
        <w:t>3.44</w:t>
      </w:r>
      <w:r>
        <w:rPr>
          <w:rFonts w:eastAsia="楷体_GB2312"/>
          <w:b/>
          <w:bCs/>
          <w:sz w:val="32"/>
          <w:szCs w:val="32"/>
        </w:rPr>
        <w:t>万元。</w:t>
      </w:r>
      <w:r>
        <w:rPr>
          <w:rFonts w:hint="eastAsia" w:ascii="仿宋" w:hAnsi="仿宋" w:eastAsia="仿宋" w:cs="仿宋"/>
          <w:sz w:val="32"/>
          <w:szCs w:val="32"/>
        </w:rPr>
        <w:t>本部门2018年度公务用车购置及运行维护费比年初预算减少</w:t>
      </w:r>
      <w:r>
        <w:rPr>
          <w:rFonts w:hint="eastAsia" w:ascii="仿宋" w:hAnsi="仿宋" w:eastAsia="仿宋" w:cs="仿宋"/>
          <w:sz w:val="32"/>
          <w:szCs w:val="32"/>
          <w:lang w:val="en-US" w:eastAsia="zh-CN"/>
        </w:rPr>
        <w:t>0.06</w:t>
      </w:r>
      <w:r>
        <w:rPr>
          <w:rFonts w:hint="eastAsia" w:ascii="仿宋" w:hAnsi="仿宋" w:eastAsia="仿宋" w:cs="仿宋"/>
          <w:sz w:val="32"/>
          <w:szCs w:val="32"/>
        </w:rPr>
        <w:t>万元，降低</w:t>
      </w:r>
      <w:r>
        <w:rPr>
          <w:rFonts w:hint="eastAsia" w:ascii="仿宋" w:hAnsi="仿宋" w:eastAsia="仿宋" w:cs="仿宋"/>
          <w:sz w:val="32"/>
          <w:szCs w:val="32"/>
          <w:lang w:val="en-US" w:eastAsia="zh-CN"/>
        </w:rPr>
        <w:t>1.71</w:t>
      </w:r>
      <w:r>
        <w:rPr>
          <w:rFonts w:hint="eastAsia" w:ascii="仿宋" w:hAnsi="仿宋" w:eastAsia="仿宋" w:cs="仿宋"/>
          <w:sz w:val="32"/>
          <w:szCs w:val="32"/>
        </w:rPr>
        <w:t>%,主要是坚持厉行节约，反对浪费；比2017年度决算减少</w:t>
      </w:r>
      <w:r>
        <w:rPr>
          <w:rFonts w:hint="eastAsia" w:ascii="仿宋" w:hAnsi="仿宋" w:eastAsia="仿宋" w:cs="仿宋"/>
          <w:sz w:val="32"/>
          <w:szCs w:val="32"/>
          <w:lang w:val="en-US" w:eastAsia="zh-CN"/>
        </w:rPr>
        <w:t>0.92</w:t>
      </w:r>
      <w:r>
        <w:rPr>
          <w:rFonts w:hint="eastAsia" w:ascii="仿宋" w:hAnsi="仿宋" w:eastAsia="仿宋" w:cs="仿宋"/>
          <w:sz w:val="32"/>
          <w:szCs w:val="32"/>
        </w:rPr>
        <w:t>万元，降低</w:t>
      </w:r>
      <w:r>
        <w:rPr>
          <w:rFonts w:hint="eastAsia" w:ascii="仿宋" w:hAnsi="仿宋" w:eastAsia="仿宋" w:cs="仿宋"/>
          <w:sz w:val="32"/>
          <w:szCs w:val="32"/>
          <w:lang w:val="en-US" w:eastAsia="zh-CN"/>
        </w:rPr>
        <w:t>21.10</w:t>
      </w:r>
      <w:r>
        <w:rPr>
          <w:rFonts w:hint="eastAsia" w:ascii="仿宋" w:hAnsi="仿宋" w:eastAsia="仿宋" w:cs="仿宋"/>
          <w:sz w:val="32"/>
          <w:szCs w:val="32"/>
        </w:rPr>
        <w:t>%，主要是坚持厉行节约，反对浪费。</w:t>
      </w:r>
      <w:r>
        <w:rPr>
          <w:rFonts w:hint="eastAsia" w:ascii="仿宋" w:hAnsi="仿宋" w:eastAsia="仿宋" w:cs="仿宋"/>
          <w:b/>
          <w:bCs/>
          <w:sz w:val="32"/>
          <w:szCs w:val="32"/>
        </w:rPr>
        <w:t>其中：</w:t>
      </w:r>
    </w:p>
    <w:p>
      <w:pPr>
        <w:adjustRightInd w:val="0"/>
        <w:snapToGrid w:val="0"/>
        <w:spacing w:line="584" w:lineRule="exact"/>
        <w:ind w:firstLine="643" w:firstLineChars="200"/>
        <w:rPr>
          <w:rFonts w:eastAsia="仿宋_GB2312"/>
          <w:sz w:val="32"/>
          <w:szCs w:val="32"/>
          <w:highlight w:val="yellow"/>
        </w:rPr>
      </w:pPr>
      <w:r>
        <w:rPr>
          <w:rFonts w:eastAsia="仿宋_GB2312"/>
          <w:b/>
          <w:sz w:val="32"/>
          <w:szCs w:val="32"/>
        </w:rPr>
        <w:t>公务用车购置费支出</w:t>
      </w:r>
      <w:r>
        <w:rPr>
          <w:rFonts w:hint="eastAsia" w:eastAsia="仿宋_GB2312"/>
          <w:b/>
          <w:sz w:val="32"/>
          <w:szCs w:val="32"/>
          <w:lang w:val="en-US" w:eastAsia="zh-CN"/>
        </w:rPr>
        <w:t>0</w:t>
      </w:r>
      <w:r>
        <w:rPr>
          <w:rFonts w:eastAsia="仿宋_GB2312"/>
          <w:b/>
          <w:sz w:val="32"/>
          <w:szCs w:val="32"/>
        </w:rPr>
        <w:t>万元。</w:t>
      </w:r>
      <w:r>
        <w:rPr>
          <w:rFonts w:eastAsia="仿宋_GB2312"/>
          <w:sz w:val="32"/>
          <w:szCs w:val="32"/>
        </w:rPr>
        <w:t>本部门201</w:t>
      </w:r>
      <w:r>
        <w:rPr>
          <w:rFonts w:hint="eastAsia" w:eastAsia="仿宋_GB2312"/>
          <w:sz w:val="32"/>
          <w:szCs w:val="32"/>
        </w:rPr>
        <w:t>8</w:t>
      </w:r>
      <w:r>
        <w:rPr>
          <w:rFonts w:eastAsia="仿宋_GB2312"/>
          <w:sz w:val="32"/>
          <w:szCs w:val="32"/>
        </w:rPr>
        <w:t>年度公务用车购置数量</w:t>
      </w:r>
      <w:r>
        <w:rPr>
          <w:rFonts w:hint="eastAsia" w:eastAsia="仿宋_GB2312"/>
          <w:sz w:val="32"/>
          <w:szCs w:val="32"/>
          <w:lang w:val="en-US" w:eastAsia="zh-CN"/>
        </w:rPr>
        <w:t>0</w:t>
      </w:r>
      <w:r>
        <w:rPr>
          <w:rFonts w:eastAsia="仿宋_GB2312"/>
          <w:sz w:val="32"/>
          <w:szCs w:val="32"/>
        </w:rPr>
        <w:t>辆。公务用车购置费支出</w:t>
      </w:r>
      <w:r>
        <w:rPr>
          <w:rFonts w:hint="eastAsia" w:eastAsia="仿宋_GB2312"/>
          <w:sz w:val="32"/>
          <w:szCs w:val="32"/>
        </w:rPr>
        <w:t>比</w:t>
      </w:r>
      <w:r>
        <w:rPr>
          <w:rFonts w:eastAsia="仿宋_GB2312"/>
          <w:sz w:val="32"/>
          <w:szCs w:val="32"/>
        </w:rPr>
        <w:t>年初预算增加</w:t>
      </w:r>
      <w:r>
        <w:rPr>
          <w:rFonts w:hint="eastAsia" w:eastAsia="仿宋_GB2312"/>
          <w:sz w:val="32"/>
          <w:szCs w:val="32"/>
          <w:lang w:val="en-US" w:eastAsia="zh-CN"/>
        </w:rPr>
        <w:t>0</w:t>
      </w:r>
      <w:r>
        <w:rPr>
          <w:rFonts w:eastAsia="仿宋_GB2312"/>
          <w:sz w:val="32"/>
          <w:szCs w:val="32"/>
        </w:rPr>
        <w:t>万元，增长</w:t>
      </w:r>
      <w:r>
        <w:rPr>
          <w:rFonts w:hint="eastAsia" w:eastAsia="仿宋_GB2312"/>
          <w:sz w:val="32"/>
          <w:szCs w:val="32"/>
          <w:lang w:val="en-US" w:eastAsia="zh-CN"/>
        </w:rPr>
        <w:t>0</w:t>
      </w:r>
      <w:r>
        <w:rPr>
          <w:rFonts w:eastAsia="仿宋_GB2312"/>
          <w:sz w:val="32"/>
          <w:szCs w:val="32"/>
        </w:rPr>
        <w:t>%，主要是</w:t>
      </w:r>
      <w:r>
        <w:rPr>
          <w:rFonts w:hint="eastAsia" w:eastAsia="仿宋_GB2312"/>
          <w:sz w:val="32"/>
          <w:szCs w:val="32"/>
          <w:lang w:eastAsia="zh-CN"/>
        </w:rPr>
        <w:t>无公务用车购置费用</w:t>
      </w:r>
      <w:r>
        <w:rPr>
          <w:rFonts w:eastAsia="仿宋_GB2312"/>
          <w:sz w:val="32"/>
          <w:szCs w:val="32"/>
        </w:rPr>
        <w:t>；</w:t>
      </w:r>
      <w:r>
        <w:rPr>
          <w:rFonts w:hint="eastAsia" w:eastAsia="仿宋_GB2312"/>
          <w:sz w:val="32"/>
          <w:szCs w:val="32"/>
        </w:rPr>
        <w:t>比</w:t>
      </w:r>
      <w:r>
        <w:rPr>
          <w:rFonts w:eastAsia="仿宋_GB2312"/>
          <w:sz w:val="32"/>
          <w:szCs w:val="32"/>
        </w:rPr>
        <w:t>201</w:t>
      </w:r>
      <w:r>
        <w:rPr>
          <w:rFonts w:hint="eastAsia" w:eastAsia="仿宋_GB2312"/>
          <w:sz w:val="32"/>
          <w:szCs w:val="32"/>
        </w:rPr>
        <w:t>7</w:t>
      </w:r>
      <w:r>
        <w:rPr>
          <w:rFonts w:eastAsia="仿宋_GB2312"/>
          <w:sz w:val="32"/>
          <w:szCs w:val="32"/>
        </w:rPr>
        <w:t>年度决算增加</w:t>
      </w:r>
      <w:r>
        <w:rPr>
          <w:rFonts w:hint="eastAsia" w:eastAsia="仿宋_GB2312"/>
          <w:sz w:val="32"/>
          <w:szCs w:val="32"/>
          <w:lang w:val="en-US" w:eastAsia="zh-CN"/>
        </w:rPr>
        <w:t>0</w:t>
      </w:r>
      <w:r>
        <w:rPr>
          <w:rFonts w:eastAsia="仿宋_GB2312"/>
          <w:sz w:val="32"/>
          <w:szCs w:val="32"/>
        </w:rPr>
        <w:t>万元，增长</w:t>
      </w:r>
      <w:r>
        <w:rPr>
          <w:rFonts w:hint="eastAsia" w:eastAsia="仿宋_GB2312"/>
          <w:sz w:val="32"/>
          <w:szCs w:val="32"/>
          <w:lang w:val="en-US" w:eastAsia="zh-CN"/>
        </w:rPr>
        <w:t>0</w:t>
      </w:r>
      <w:r>
        <w:rPr>
          <w:rFonts w:eastAsia="仿宋_GB2312"/>
          <w:sz w:val="32"/>
          <w:szCs w:val="32"/>
        </w:rPr>
        <w:t>%，主要是</w:t>
      </w:r>
      <w:r>
        <w:rPr>
          <w:rFonts w:hint="eastAsia" w:eastAsia="仿宋_GB2312"/>
          <w:sz w:val="32"/>
          <w:szCs w:val="32"/>
          <w:lang w:eastAsia="zh-CN"/>
        </w:rPr>
        <w:t>无公务用车购置费用</w:t>
      </w:r>
      <w:r>
        <w:rPr>
          <w:rFonts w:eastAsia="仿宋_GB2312"/>
          <w:sz w:val="32"/>
          <w:szCs w:val="32"/>
        </w:rPr>
        <w:t>。</w:t>
      </w:r>
    </w:p>
    <w:p>
      <w:pPr>
        <w:adjustRightInd w:val="0"/>
        <w:snapToGrid w:val="0"/>
        <w:spacing w:line="584" w:lineRule="exact"/>
        <w:ind w:firstLine="643" w:firstLineChars="200"/>
        <w:rPr>
          <w:rFonts w:hint="eastAsia" w:ascii="仿宋" w:hAnsi="仿宋" w:eastAsia="仿宋" w:cs="仿宋"/>
          <w:sz w:val="32"/>
          <w:szCs w:val="32"/>
          <w:highlight w:val="yellow"/>
        </w:rPr>
      </w:pPr>
      <w:r>
        <w:rPr>
          <w:rFonts w:eastAsia="仿宋_GB2312"/>
          <w:b/>
          <w:sz w:val="32"/>
          <w:szCs w:val="32"/>
        </w:rPr>
        <w:t>公务用车运行维护费支出</w:t>
      </w:r>
      <w:r>
        <w:rPr>
          <w:rFonts w:hint="eastAsia" w:eastAsia="仿宋_GB2312"/>
          <w:b/>
          <w:sz w:val="32"/>
          <w:szCs w:val="32"/>
          <w:lang w:val="en-US" w:eastAsia="zh-CN"/>
        </w:rPr>
        <w:t>3.44</w:t>
      </w:r>
      <w:r>
        <w:rPr>
          <w:rFonts w:eastAsia="仿宋_GB2312"/>
          <w:b/>
          <w:sz w:val="32"/>
          <w:szCs w:val="32"/>
        </w:rPr>
        <w:t>万元。</w:t>
      </w:r>
      <w:r>
        <w:rPr>
          <w:rFonts w:hint="eastAsia" w:ascii="仿宋" w:hAnsi="仿宋" w:eastAsia="仿宋" w:cs="仿宋"/>
          <w:sz w:val="32"/>
          <w:szCs w:val="32"/>
        </w:rPr>
        <w:t>本部门2018年末单位公务用车保有量</w:t>
      </w:r>
      <w:r>
        <w:rPr>
          <w:rFonts w:hint="eastAsia" w:ascii="仿宋" w:hAnsi="仿宋" w:eastAsia="仿宋" w:cs="仿宋"/>
          <w:sz w:val="32"/>
          <w:szCs w:val="32"/>
          <w:lang w:val="en-US" w:eastAsia="zh-CN"/>
        </w:rPr>
        <w:t>1</w:t>
      </w:r>
      <w:r>
        <w:rPr>
          <w:rFonts w:hint="eastAsia" w:ascii="仿宋" w:hAnsi="仿宋" w:eastAsia="仿宋" w:cs="仿宋"/>
          <w:sz w:val="32"/>
          <w:szCs w:val="32"/>
        </w:rPr>
        <w:t>辆。公车运行维护费支出比年初预算减少</w:t>
      </w:r>
      <w:r>
        <w:rPr>
          <w:rFonts w:hint="eastAsia" w:ascii="仿宋" w:hAnsi="仿宋" w:eastAsia="仿宋" w:cs="仿宋"/>
          <w:sz w:val="32"/>
          <w:szCs w:val="32"/>
          <w:lang w:val="en-US" w:eastAsia="zh-CN"/>
        </w:rPr>
        <w:t>0.06</w:t>
      </w:r>
      <w:r>
        <w:rPr>
          <w:rFonts w:hint="eastAsia" w:ascii="仿宋" w:hAnsi="仿宋" w:eastAsia="仿宋" w:cs="仿宋"/>
          <w:sz w:val="32"/>
          <w:szCs w:val="32"/>
        </w:rPr>
        <w:t>万元，降低</w:t>
      </w:r>
      <w:r>
        <w:rPr>
          <w:rFonts w:hint="eastAsia" w:ascii="仿宋" w:hAnsi="仿宋" w:eastAsia="仿宋" w:cs="仿宋"/>
          <w:sz w:val="32"/>
          <w:szCs w:val="32"/>
          <w:lang w:val="en-US" w:eastAsia="zh-CN"/>
        </w:rPr>
        <w:t>1.71</w:t>
      </w:r>
      <w:r>
        <w:rPr>
          <w:rFonts w:hint="eastAsia" w:ascii="仿宋" w:hAnsi="仿宋" w:eastAsia="仿宋" w:cs="仿宋"/>
          <w:sz w:val="32"/>
          <w:szCs w:val="32"/>
        </w:rPr>
        <w:t>%，主要是坚持厉行节约，反对浪费；比2017年度决算减少</w:t>
      </w:r>
      <w:r>
        <w:rPr>
          <w:rFonts w:hint="eastAsia" w:ascii="仿宋" w:hAnsi="仿宋" w:eastAsia="仿宋" w:cs="仿宋"/>
          <w:sz w:val="32"/>
          <w:szCs w:val="32"/>
          <w:lang w:val="en-US" w:eastAsia="zh-CN"/>
        </w:rPr>
        <w:t>0.92</w:t>
      </w:r>
      <w:r>
        <w:rPr>
          <w:rFonts w:hint="eastAsia" w:ascii="仿宋" w:hAnsi="仿宋" w:eastAsia="仿宋" w:cs="仿宋"/>
          <w:sz w:val="32"/>
          <w:szCs w:val="32"/>
        </w:rPr>
        <w:t>万元，降低</w:t>
      </w:r>
      <w:r>
        <w:rPr>
          <w:rFonts w:hint="eastAsia" w:ascii="仿宋" w:hAnsi="仿宋" w:eastAsia="仿宋" w:cs="仿宋"/>
          <w:sz w:val="32"/>
          <w:szCs w:val="32"/>
          <w:lang w:val="en-US" w:eastAsia="zh-CN"/>
        </w:rPr>
        <w:t>21.10</w:t>
      </w:r>
      <w:r>
        <w:rPr>
          <w:rFonts w:hint="eastAsia" w:ascii="仿宋" w:hAnsi="仿宋" w:eastAsia="仿宋" w:cs="仿宋"/>
          <w:sz w:val="32"/>
          <w:szCs w:val="32"/>
        </w:rPr>
        <w:t>%，主要是坚持厉行节约，反对浪费。</w:t>
      </w:r>
    </w:p>
    <w:p>
      <w:pPr>
        <w:adjustRightInd w:val="0"/>
        <w:snapToGrid w:val="0"/>
        <w:spacing w:line="584" w:lineRule="exact"/>
        <w:ind w:firstLine="643" w:firstLineChars="200"/>
        <w:rPr>
          <w:rFonts w:hint="eastAsia" w:ascii="仿宋" w:hAnsi="仿宋" w:eastAsia="仿宋" w:cs="仿宋"/>
          <w:sz w:val="32"/>
          <w:szCs w:val="32"/>
          <w:highlight w:val="yellow"/>
        </w:rPr>
      </w:pPr>
      <w:r>
        <w:rPr>
          <w:rFonts w:eastAsia="楷体_GB2312"/>
          <w:b/>
          <w:bCs/>
          <w:sz w:val="32"/>
          <w:szCs w:val="32"/>
        </w:rPr>
        <w:t>（三）公务接待费支出</w:t>
      </w:r>
      <w:r>
        <w:rPr>
          <w:rFonts w:hint="eastAsia" w:eastAsia="楷体_GB2312"/>
          <w:b/>
          <w:bCs/>
          <w:sz w:val="32"/>
          <w:szCs w:val="32"/>
          <w:lang w:val="en-US" w:eastAsia="zh-CN"/>
        </w:rPr>
        <w:t>0.5</w:t>
      </w:r>
      <w:r>
        <w:rPr>
          <w:rFonts w:eastAsia="楷体_GB2312"/>
          <w:b/>
          <w:bCs/>
          <w:sz w:val="32"/>
          <w:szCs w:val="32"/>
        </w:rPr>
        <w:t>万元。</w:t>
      </w:r>
      <w:r>
        <w:rPr>
          <w:rFonts w:hint="eastAsia" w:ascii="仿宋" w:hAnsi="仿宋" w:eastAsia="仿宋" w:cs="仿宋"/>
          <w:sz w:val="32"/>
          <w:szCs w:val="32"/>
        </w:rPr>
        <w:t>本部门2018年度公务接待共</w:t>
      </w:r>
      <w:r>
        <w:rPr>
          <w:rFonts w:hint="eastAsia" w:ascii="仿宋" w:hAnsi="仿宋" w:eastAsia="仿宋" w:cs="仿宋"/>
          <w:sz w:val="32"/>
          <w:szCs w:val="32"/>
          <w:lang w:val="en-US" w:eastAsia="zh-CN"/>
        </w:rPr>
        <w:t>8</w:t>
      </w:r>
      <w:r>
        <w:rPr>
          <w:rFonts w:hint="eastAsia" w:ascii="仿宋" w:hAnsi="仿宋" w:eastAsia="仿宋" w:cs="仿宋"/>
          <w:sz w:val="32"/>
          <w:szCs w:val="32"/>
        </w:rPr>
        <w:t>批次、</w:t>
      </w:r>
      <w:r>
        <w:rPr>
          <w:rFonts w:hint="eastAsia" w:ascii="仿宋" w:hAnsi="仿宋" w:eastAsia="仿宋" w:cs="仿宋"/>
          <w:sz w:val="32"/>
          <w:szCs w:val="32"/>
          <w:lang w:val="en-US" w:eastAsia="zh-CN"/>
        </w:rPr>
        <w:t>52</w:t>
      </w:r>
      <w:r>
        <w:rPr>
          <w:rFonts w:hint="eastAsia" w:ascii="仿宋" w:hAnsi="仿宋" w:eastAsia="仿宋" w:cs="仿宋"/>
          <w:sz w:val="32"/>
          <w:szCs w:val="32"/>
        </w:rPr>
        <w:t>人次。公务接待费支出比年初预算增加</w:t>
      </w:r>
      <w:r>
        <w:rPr>
          <w:rFonts w:hint="eastAsia" w:ascii="仿宋" w:hAnsi="仿宋" w:eastAsia="仿宋" w:cs="仿宋"/>
          <w:sz w:val="32"/>
          <w:szCs w:val="32"/>
          <w:lang w:val="en-US" w:eastAsia="zh-CN"/>
        </w:rPr>
        <w:t>0</w:t>
      </w:r>
      <w:r>
        <w:rPr>
          <w:rFonts w:hint="eastAsia" w:ascii="仿宋" w:hAnsi="仿宋" w:eastAsia="仿宋" w:cs="仿宋"/>
          <w:sz w:val="32"/>
          <w:szCs w:val="32"/>
        </w:rPr>
        <w:t>万元，增长</w:t>
      </w:r>
      <w:r>
        <w:rPr>
          <w:rFonts w:hint="eastAsia" w:ascii="仿宋" w:hAnsi="仿宋" w:eastAsia="仿宋" w:cs="仿宋"/>
          <w:sz w:val="32"/>
          <w:szCs w:val="32"/>
          <w:lang w:val="en-US" w:eastAsia="zh-CN"/>
        </w:rPr>
        <w:t>0</w:t>
      </w:r>
      <w:r>
        <w:rPr>
          <w:rFonts w:hint="eastAsia" w:ascii="仿宋" w:hAnsi="仿宋" w:eastAsia="仿宋" w:cs="仿宋"/>
          <w:sz w:val="32"/>
          <w:szCs w:val="32"/>
        </w:rPr>
        <w:t>%，主要是</w:t>
      </w:r>
      <w:r>
        <w:rPr>
          <w:rFonts w:hint="eastAsia" w:ascii="仿宋" w:hAnsi="仿宋" w:eastAsia="仿宋" w:cs="仿宋"/>
          <w:sz w:val="32"/>
          <w:szCs w:val="32"/>
          <w:lang w:eastAsia="zh-CN"/>
        </w:rPr>
        <w:t>严格按照预算来执行</w:t>
      </w:r>
      <w:r>
        <w:rPr>
          <w:rFonts w:hint="eastAsia" w:ascii="仿宋" w:hAnsi="仿宋" w:eastAsia="仿宋" w:cs="仿宋"/>
          <w:sz w:val="32"/>
          <w:szCs w:val="32"/>
        </w:rPr>
        <w:t>；比2017年度决算增加</w:t>
      </w:r>
      <w:r>
        <w:rPr>
          <w:rFonts w:hint="eastAsia" w:ascii="仿宋" w:hAnsi="仿宋" w:eastAsia="仿宋" w:cs="仿宋"/>
          <w:sz w:val="32"/>
          <w:szCs w:val="32"/>
          <w:lang w:val="en-US" w:eastAsia="zh-CN"/>
        </w:rPr>
        <w:t>0.42</w:t>
      </w:r>
      <w:r>
        <w:rPr>
          <w:rFonts w:hint="eastAsia" w:ascii="仿宋" w:hAnsi="仿宋" w:eastAsia="仿宋" w:cs="仿宋"/>
          <w:sz w:val="32"/>
          <w:szCs w:val="32"/>
        </w:rPr>
        <w:t>万元，增长</w:t>
      </w:r>
      <w:r>
        <w:rPr>
          <w:rFonts w:hint="eastAsia" w:ascii="仿宋" w:hAnsi="仿宋" w:eastAsia="仿宋" w:cs="仿宋"/>
          <w:sz w:val="32"/>
          <w:szCs w:val="32"/>
          <w:lang w:val="en-US" w:eastAsia="zh-CN"/>
        </w:rPr>
        <w:t>525</w:t>
      </w:r>
      <w:r>
        <w:rPr>
          <w:rFonts w:hint="eastAsia" w:ascii="仿宋" w:hAnsi="仿宋" w:eastAsia="仿宋" w:cs="仿宋"/>
          <w:sz w:val="32"/>
          <w:szCs w:val="32"/>
        </w:rPr>
        <w:t>%，主要是</w:t>
      </w:r>
      <w:r>
        <w:rPr>
          <w:rFonts w:hint="eastAsia" w:ascii="仿宋" w:hAnsi="仿宋" w:eastAsia="仿宋" w:cs="仿宋"/>
          <w:sz w:val="32"/>
          <w:szCs w:val="32"/>
          <w:lang w:eastAsia="zh-CN"/>
        </w:rPr>
        <w:t>加大了与廊坊师院的联合办班的交流与沟通，师院领导多次来我校检查指导</w:t>
      </w:r>
      <w:r>
        <w:rPr>
          <w:rFonts w:hint="eastAsia" w:ascii="仿宋" w:hAnsi="仿宋" w:eastAsia="仿宋" w:cs="仿宋"/>
          <w:sz w:val="32"/>
          <w:szCs w:val="32"/>
        </w:rPr>
        <w:t>。</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3" w:firstLineChars="200"/>
        <w:rPr>
          <w:rFonts w:hint="eastAsia" w:ascii="仿宋_GB2312" w:eastAsia="仿宋_GB2312" w:cs="DengXian-Regular"/>
          <w:b/>
          <w:bCs/>
          <w:sz w:val="32"/>
          <w:szCs w:val="32"/>
        </w:rPr>
      </w:pPr>
      <w:r>
        <w:rPr>
          <w:rFonts w:hint="eastAsia" w:ascii="仿宋_GB2312" w:eastAsia="仿宋_GB2312" w:cs="DengXian-Regular"/>
          <w:b/>
          <w:bCs/>
          <w:sz w:val="32"/>
          <w:szCs w:val="32"/>
        </w:rPr>
        <w:t>（一）预算绩效管理工作开展情况。</w:t>
      </w:r>
    </w:p>
    <w:p>
      <w:pPr>
        <w:adjustRightInd w:val="0"/>
        <w:snapToGrid w:val="0"/>
        <w:spacing w:after="0" w:line="58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通过不断提高教学水平、完善教学设施、优化教学布局、丰富教学手段，围绕全县工作大局，按照实事求是、与时俱进、艰苦奋斗、执政为民的要求，培养忠诚于中国特色社会主义事业、德才兼备的党员领导干部和理论干部，有效提高干部的政策理论水平、思想觉悟和执政能力。年度内已完成了培训、轮训工作量占计划量的比例。</w:t>
      </w:r>
    </w:p>
    <w:p>
      <w:pPr>
        <w:adjustRightInd w:val="0"/>
        <w:snapToGrid w:val="0"/>
        <w:spacing w:after="0" w:line="580" w:lineRule="exact"/>
        <w:ind w:firstLine="643" w:firstLineChars="200"/>
        <w:rPr>
          <w:rFonts w:hint="eastAsia" w:ascii="仿宋_GB2312" w:eastAsia="仿宋_GB2312" w:cs="DengXian-Regular"/>
          <w:b/>
          <w:bCs/>
          <w:sz w:val="32"/>
          <w:szCs w:val="32"/>
        </w:rPr>
      </w:pPr>
      <w:r>
        <w:rPr>
          <w:rFonts w:hint="eastAsia" w:ascii="仿宋_GB2312" w:eastAsia="仿宋_GB2312" w:cs="DengXian-Regular"/>
          <w:b/>
          <w:bCs/>
          <w:sz w:val="32"/>
          <w:szCs w:val="32"/>
        </w:rPr>
        <w:t>（二）项目绩效自评结果。</w:t>
      </w:r>
    </w:p>
    <w:p>
      <w:pPr>
        <w:autoSpaceDE w:val="0"/>
        <w:autoSpaceDN w:val="0"/>
        <w:adjustRightInd w:val="0"/>
        <w:spacing w:line="584" w:lineRule="exact"/>
        <w:ind w:firstLine="640" w:firstLineChars="200"/>
        <w:jc w:val="left"/>
        <w:rPr>
          <w:rFonts w:hint="eastAsia" w:ascii="仿宋" w:hAnsi="仿宋" w:eastAsia="仿宋" w:cs="仿宋"/>
          <w:sz w:val="32"/>
          <w:szCs w:val="32"/>
        </w:rPr>
      </w:pPr>
      <w:r>
        <w:rPr>
          <w:rFonts w:hint="eastAsia" w:ascii="仿宋" w:hAnsi="仿宋" w:eastAsia="仿宋" w:cs="仿宋"/>
          <w:kern w:val="0"/>
          <w:sz w:val="32"/>
          <w:szCs w:val="32"/>
        </w:rPr>
        <w:t>通过对党的中心任务、重大战略部署及相关重大现实理论问题开展调查研究，有效推进理论创新，立项一批有质量的课题；通过开展调查研究，拿出一批有质量的成果为领导决策服务；通过对党的路线方针政策的宣传和重大理论问题的分析解读，使党员领导干部和群众掌握马克思主义的立场、观点、方法，坚定理想信念，始终和党中央保持一致。党校教师到外部门或单位宣讲党的路线方针政策次数已完成绩效目标，调研了解外部门或单位对党校教师宣讲内容的满意程度达到了绩效目标的要求。</w:t>
      </w:r>
    </w:p>
    <w:p>
      <w:pPr>
        <w:ind w:firstLine="643" w:firstLineChars="200"/>
        <w:rPr>
          <w:rFonts w:hint="eastAsia" w:ascii="仿宋_GB2312" w:eastAsia="仿宋_GB2312" w:cs="DengXian-Regular"/>
          <w:b/>
          <w:bCs/>
          <w:sz w:val="32"/>
          <w:szCs w:val="32"/>
        </w:rPr>
      </w:pPr>
      <w:r>
        <w:rPr>
          <w:rFonts w:hint="eastAsia" w:ascii="仿宋_GB2312" w:eastAsia="仿宋_GB2312" w:cs="DengXian-Regular"/>
          <w:b/>
          <w:bCs/>
          <w:sz w:val="32"/>
          <w:szCs w:val="32"/>
        </w:rPr>
        <w:t>（三）重点项目绩效评价结果。</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主题班、干部教育培训</w:t>
      </w:r>
      <w:r>
        <w:rPr>
          <w:rFonts w:hint="eastAsia" w:ascii="仿宋" w:hAnsi="仿宋" w:eastAsia="仿宋" w:cs="仿宋"/>
          <w:sz w:val="32"/>
          <w:szCs w:val="32"/>
        </w:rPr>
        <w:t>活动的场次</w:t>
      </w:r>
      <w:r>
        <w:rPr>
          <w:rFonts w:hint="eastAsia" w:ascii="仿宋" w:hAnsi="仿宋" w:eastAsia="仿宋" w:cs="仿宋"/>
          <w:sz w:val="32"/>
          <w:szCs w:val="32"/>
          <w:lang w:eastAsia="zh-CN"/>
        </w:rPr>
        <w:t>大于</w:t>
      </w:r>
      <w:r>
        <w:rPr>
          <w:rFonts w:hint="eastAsia" w:ascii="仿宋" w:hAnsi="仿宋" w:eastAsia="仿宋" w:cs="仿宋"/>
          <w:sz w:val="32"/>
          <w:szCs w:val="32"/>
        </w:rPr>
        <w:t>1</w:t>
      </w:r>
      <w:r>
        <w:rPr>
          <w:rFonts w:hint="eastAsia" w:ascii="仿宋" w:hAnsi="仿宋" w:eastAsia="仿宋" w:cs="仿宋"/>
          <w:sz w:val="32"/>
          <w:szCs w:val="32"/>
          <w:lang w:val="en-US" w:eastAsia="zh-CN"/>
        </w:rPr>
        <w:t>5</w:t>
      </w:r>
      <w:r>
        <w:rPr>
          <w:rFonts w:hint="eastAsia" w:ascii="仿宋" w:hAnsi="仿宋" w:eastAsia="仿宋" w:cs="仿宋"/>
          <w:sz w:val="32"/>
          <w:szCs w:val="32"/>
          <w:lang w:eastAsia="zh-CN"/>
        </w:rPr>
        <w:t>次，</w:t>
      </w:r>
      <w:r>
        <w:rPr>
          <w:rFonts w:hint="eastAsia" w:ascii="仿宋" w:hAnsi="仿宋" w:eastAsia="仿宋" w:cs="仿宋"/>
          <w:sz w:val="32"/>
          <w:szCs w:val="32"/>
        </w:rPr>
        <w:t>综合事务完成率100%</w:t>
      </w:r>
      <w:r>
        <w:rPr>
          <w:rFonts w:hint="eastAsia" w:ascii="仿宋" w:hAnsi="仿宋" w:eastAsia="仿宋" w:cs="仿宋"/>
          <w:sz w:val="32"/>
          <w:szCs w:val="32"/>
          <w:lang w:eastAsia="zh-CN"/>
        </w:rPr>
        <w:t>，培训</w:t>
      </w:r>
      <w:r>
        <w:rPr>
          <w:rFonts w:hint="eastAsia" w:ascii="仿宋" w:hAnsi="仿宋" w:eastAsia="仿宋" w:cs="仿宋"/>
          <w:sz w:val="32"/>
          <w:szCs w:val="32"/>
        </w:rPr>
        <w:t>人数</w:t>
      </w:r>
      <w:r>
        <w:rPr>
          <w:rFonts w:hint="eastAsia" w:ascii="仿宋" w:hAnsi="仿宋" w:eastAsia="仿宋" w:cs="仿宋"/>
          <w:sz w:val="32"/>
          <w:szCs w:val="32"/>
          <w:lang w:eastAsia="zh-CN"/>
        </w:rPr>
        <w:t>近</w:t>
      </w:r>
      <w:r>
        <w:rPr>
          <w:rFonts w:hint="eastAsia" w:ascii="仿宋" w:hAnsi="仿宋" w:eastAsia="仿宋" w:cs="仿宋"/>
          <w:sz w:val="32"/>
          <w:szCs w:val="32"/>
          <w:lang w:val="en-US" w:eastAsia="zh-CN"/>
        </w:rPr>
        <w:t>2500</w:t>
      </w:r>
      <w:r>
        <w:rPr>
          <w:rFonts w:hint="eastAsia" w:ascii="仿宋" w:hAnsi="仿宋" w:eastAsia="仿宋" w:cs="仿宋"/>
          <w:sz w:val="32"/>
          <w:szCs w:val="32"/>
          <w:lang w:eastAsia="zh-CN"/>
        </w:rPr>
        <w:t>人次；先后派出</w:t>
      </w:r>
      <w:r>
        <w:rPr>
          <w:rFonts w:hint="eastAsia" w:ascii="仿宋" w:hAnsi="仿宋" w:eastAsia="仿宋" w:cs="仿宋"/>
          <w:sz w:val="32"/>
          <w:szCs w:val="32"/>
          <w:lang w:val="en-US" w:eastAsia="zh-CN"/>
        </w:rPr>
        <w:t>10名教师和管理人员参加乡镇领导班子集中轮训、专题培训、创新人才和赴浙江大学培训的跟班学习和服务；</w:t>
      </w:r>
      <w:r>
        <w:rPr>
          <w:rFonts w:hint="eastAsia" w:ascii="仿宋" w:hAnsi="仿宋" w:eastAsia="仿宋" w:cs="仿宋"/>
          <w:sz w:val="32"/>
          <w:szCs w:val="32"/>
          <w:lang w:eastAsia="zh-CN"/>
        </w:rPr>
        <w:t>对社会主义价</w:t>
      </w:r>
      <w:r>
        <w:rPr>
          <w:rFonts w:hint="eastAsia" w:ascii="仿宋" w:hAnsi="仿宋" w:eastAsia="仿宋" w:cs="仿宋"/>
          <w:sz w:val="32"/>
          <w:szCs w:val="32"/>
          <w:lang w:val="en-US" w:eastAsia="zh-CN"/>
        </w:rPr>
        <w:t>核心</w:t>
      </w:r>
      <w:bookmarkStart w:id="0" w:name="_GoBack"/>
      <w:bookmarkEnd w:id="0"/>
      <w:r>
        <w:rPr>
          <w:rFonts w:hint="eastAsia" w:ascii="仿宋" w:hAnsi="仿宋" w:eastAsia="仿宋" w:cs="仿宋"/>
          <w:sz w:val="32"/>
          <w:szCs w:val="32"/>
          <w:lang w:eastAsia="zh-CN"/>
        </w:rPr>
        <w:t>值观进行宣讲，培训教师</w:t>
      </w:r>
      <w:r>
        <w:rPr>
          <w:rFonts w:hint="eastAsia" w:ascii="仿宋" w:hAnsi="仿宋" w:eastAsia="仿宋" w:cs="仿宋"/>
          <w:sz w:val="32"/>
          <w:szCs w:val="32"/>
          <w:lang w:val="en-US" w:eastAsia="zh-CN"/>
        </w:rPr>
        <w:t>400人次，学生5000人次；与廊坊师范学员联合举办成人教育，分设5个专业班级，在学人数达到460人，本年128人顺利毕业，其中本科85名学员顺利通过答辩，获得毕业资格；积极筹措资金54万余元，安装变压器、为党员活动中心的图书室购买图书，改善办公和培训条件。绩效自评等级为“优”。</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本部门2018年度机关运行经费支出</w:t>
      </w:r>
      <w:r>
        <w:rPr>
          <w:rFonts w:hint="eastAsia" w:ascii="仿宋" w:hAnsi="仿宋" w:eastAsia="仿宋" w:cs="仿宋"/>
          <w:sz w:val="32"/>
          <w:szCs w:val="32"/>
          <w:lang w:val="en-US" w:eastAsia="zh-CN"/>
        </w:rPr>
        <w:t>21.93</w:t>
      </w:r>
      <w:r>
        <w:rPr>
          <w:rFonts w:hint="eastAsia" w:ascii="仿宋" w:hAnsi="仿宋" w:eastAsia="仿宋" w:cs="仿宋"/>
          <w:sz w:val="32"/>
          <w:szCs w:val="32"/>
        </w:rPr>
        <w:t>万元，比年初预算数</w:t>
      </w:r>
      <w:r>
        <w:rPr>
          <w:rFonts w:hint="eastAsia" w:ascii="仿宋" w:hAnsi="仿宋" w:eastAsia="仿宋" w:cs="仿宋"/>
          <w:sz w:val="32"/>
          <w:szCs w:val="32"/>
          <w:lang w:eastAsia="zh-CN"/>
        </w:rPr>
        <w:t>减少</w:t>
      </w:r>
      <w:r>
        <w:rPr>
          <w:rFonts w:hint="eastAsia" w:ascii="仿宋" w:hAnsi="仿宋" w:eastAsia="仿宋" w:cs="仿宋"/>
          <w:sz w:val="32"/>
          <w:szCs w:val="32"/>
          <w:lang w:val="en-US" w:eastAsia="zh-CN"/>
        </w:rPr>
        <w:t>0.06</w:t>
      </w:r>
      <w:r>
        <w:rPr>
          <w:rFonts w:hint="eastAsia" w:ascii="仿宋" w:hAnsi="仿宋" w:eastAsia="仿宋" w:cs="仿宋"/>
          <w:sz w:val="32"/>
          <w:szCs w:val="32"/>
        </w:rPr>
        <w:t>万元，降低</w:t>
      </w:r>
      <w:r>
        <w:rPr>
          <w:rFonts w:hint="eastAsia" w:ascii="仿宋" w:hAnsi="仿宋" w:eastAsia="仿宋" w:cs="仿宋"/>
          <w:sz w:val="32"/>
          <w:szCs w:val="32"/>
          <w:lang w:val="en-US" w:eastAsia="zh-CN"/>
        </w:rPr>
        <w:t>0.27</w:t>
      </w:r>
      <w:r>
        <w:rPr>
          <w:rFonts w:hint="eastAsia" w:ascii="仿宋" w:hAnsi="仿宋" w:eastAsia="仿宋" w:cs="仿宋"/>
          <w:sz w:val="32"/>
          <w:szCs w:val="32"/>
        </w:rPr>
        <w:t>%。主要是</w:t>
      </w:r>
      <w:r>
        <w:rPr>
          <w:rFonts w:hint="eastAsia" w:ascii="仿宋" w:hAnsi="仿宋" w:eastAsia="仿宋" w:cs="仿宋"/>
          <w:sz w:val="32"/>
          <w:szCs w:val="32"/>
          <w:lang w:eastAsia="zh-CN"/>
        </w:rPr>
        <w:t>减少的公务用车运行维护费的支出</w:t>
      </w:r>
      <w:r>
        <w:rPr>
          <w:rFonts w:hint="eastAsia" w:ascii="仿宋" w:hAnsi="仿宋" w:eastAsia="仿宋" w:cs="仿宋"/>
          <w:sz w:val="32"/>
          <w:szCs w:val="32"/>
        </w:rPr>
        <w:t>。较2017年度决算增加</w:t>
      </w:r>
      <w:r>
        <w:rPr>
          <w:rFonts w:hint="eastAsia" w:ascii="仿宋" w:hAnsi="仿宋" w:eastAsia="仿宋" w:cs="仿宋"/>
          <w:sz w:val="32"/>
          <w:szCs w:val="32"/>
          <w:lang w:val="en-US" w:eastAsia="zh-CN"/>
        </w:rPr>
        <w:t>3.29</w:t>
      </w:r>
      <w:r>
        <w:rPr>
          <w:rFonts w:hint="eastAsia" w:ascii="仿宋" w:hAnsi="仿宋" w:eastAsia="仿宋" w:cs="仿宋"/>
          <w:sz w:val="32"/>
          <w:szCs w:val="32"/>
        </w:rPr>
        <w:t>万元，增长</w:t>
      </w:r>
      <w:r>
        <w:rPr>
          <w:rFonts w:hint="eastAsia" w:ascii="仿宋" w:hAnsi="仿宋" w:eastAsia="仿宋" w:cs="仿宋"/>
          <w:sz w:val="32"/>
          <w:szCs w:val="32"/>
          <w:lang w:val="en-US" w:eastAsia="zh-CN"/>
        </w:rPr>
        <w:t>17.59</w:t>
      </w:r>
      <w:r>
        <w:rPr>
          <w:rFonts w:hint="eastAsia" w:ascii="仿宋" w:hAnsi="仿宋" w:eastAsia="仿宋" w:cs="仿宋"/>
          <w:sz w:val="32"/>
          <w:szCs w:val="32"/>
        </w:rPr>
        <w:t>%，主要是</w:t>
      </w:r>
      <w:r>
        <w:rPr>
          <w:rFonts w:hint="eastAsia" w:ascii="仿宋" w:hAnsi="仿宋" w:eastAsia="仿宋" w:cs="仿宋"/>
          <w:sz w:val="32"/>
          <w:szCs w:val="32"/>
          <w:lang w:val="en-US" w:eastAsia="zh-CN"/>
        </w:rPr>
        <w:t>2018年较2017年增加的公务交通补贴费用</w:t>
      </w:r>
      <w:r>
        <w:rPr>
          <w:rFonts w:hint="eastAsia" w:ascii="仿宋" w:hAnsi="仿宋" w:eastAsia="仿宋" w:cs="仿宋"/>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本部门2018年度政府采购支出总额</w:t>
      </w:r>
      <w:r>
        <w:rPr>
          <w:rFonts w:hint="eastAsia" w:ascii="仿宋" w:hAnsi="仿宋" w:eastAsia="仿宋" w:cs="仿宋"/>
          <w:sz w:val="32"/>
          <w:szCs w:val="32"/>
          <w:lang w:val="en-US" w:eastAsia="zh-CN"/>
        </w:rPr>
        <w:t>40.46</w:t>
      </w:r>
      <w:r>
        <w:rPr>
          <w:rFonts w:hint="eastAsia" w:ascii="仿宋" w:hAnsi="仿宋" w:eastAsia="仿宋" w:cs="仿宋"/>
          <w:sz w:val="32"/>
          <w:szCs w:val="32"/>
        </w:rPr>
        <w:t>万元，从采购类型来看，</w:t>
      </w:r>
      <w:r>
        <w:rPr>
          <w:rFonts w:hint="eastAsia" w:ascii="仿宋" w:hAnsi="仿宋" w:eastAsia="仿宋" w:cs="仿宋"/>
          <w:color w:val="000000"/>
          <w:kern w:val="0"/>
          <w:sz w:val="32"/>
          <w:szCs w:val="32"/>
        </w:rPr>
        <w:t>政府采购货物支出</w:t>
      </w:r>
      <w:r>
        <w:rPr>
          <w:rFonts w:hint="eastAsia" w:ascii="仿宋" w:hAnsi="仿宋" w:eastAsia="仿宋" w:cs="仿宋"/>
          <w:color w:val="000000"/>
          <w:kern w:val="0"/>
          <w:sz w:val="32"/>
          <w:szCs w:val="32"/>
          <w:lang w:val="en-US" w:eastAsia="zh-CN"/>
        </w:rPr>
        <w:t>40.46</w:t>
      </w:r>
      <w:r>
        <w:rPr>
          <w:rFonts w:hint="eastAsia" w:ascii="仿宋" w:hAnsi="仿宋" w:eastAsia="仿宋" w:cs="仿宋"/>
          <w:color w:val="000000"/>
          <w:kern w:val="0"/>
          <w:sz w:val="32"/>
          <w:szCs w:val="32"/>
        </w:rPr>
        <w:t>万元、政府采购工程支出</w:t>
      </w:r>
      <w:r>
        <w:rPr>
          <w:rFonts w:hint="eastAsia" w:ascii="仿宋" w:hAnsi="仿宋" w:eastAsia="仿宋" w:cs="仿宋"/>
          <w:color w:val="000000"/>
          <w:kern w:val="0"/>
          <w:sz w:val="32"/>
          <w:szCs w:val="32"/>
          <w:lang w:val="en-US" w:eastAsia="zh-CN"/>
        </w:rPr>
        <w:t>0</w:t>
      </w:r>
      <w:r>
        <w:rPr>
          <w:rFonts w:hint="eastAsia" w:ascii="仿宋" w:hAnsi="仿宋" w:eastAsia="仿宋" w:cs="仿宋"/>
          <w:color w:val="000000"/>
          <w:kern w:val="0"/>
          <w:sz w:val="32"/>
          <w:szCs w:val="32"/>
        </w:rPr>
        <w:t>万元、政府采购服务支出</w:t>
      </w:r>
      <w:r>
        <w:rPr>
          <w:rFonts w:hint="eastAsia" w:ascii="仿宋" w:hAnsi="仿宋" w:eastAsia="仿宋" w:cs="仿宋"/>
          <w:color w:val="000000"/>
          <w:kern w:val="0"/>
          <w:sz w:val="32"/>
          <w:szCs w:val="32"/>
          <w:lang w:val="en-US" w:eastAsia="zh-CN"/>
        </w:rPr>
        <w:t>0</w:t>
      </w:r>
      <w:r>
        <w:rPr>
          <w:rFonts w:hint="eastAsia" w:ascii="仿宋" w:hAnsi="仿宋" w:eastAsia="仿宋" w:cs="仿宋"/>
          <w:color w:val="000000"/>
          <w:kern w:val="0"/>
          <w:sz w:val="32"/>
          <w:szCs w:val="32"/>
        </w:rPr>
        <w:t>万元。授予中小企业合同金</w:t>
      </w:r>
      <w:r>
        <w:rPr>
          <w:rFonts w:hint="eastAsia" w:ascii="仿宋" w:hAnsi="仿宋" w:eastAsia="仿宋" w:cs="仿宋"/>
          <w:color w:val="000000"/>
          <w:kern w:val="0"/>
          <w:sz w:val="32"/>
          <w:szCs w:val="32"/>
          <w:lang w:val="en-US" w:eastAsia="zh-CN"/>
        </w:rPr>
        <w:t>0</w:t>
      </w:r>
      <w:r>
        <w:rPr>
          <w:rFonts w:hint="eastAsia" w:ascii="仿宋" w:hAnsi="仿宋" w:eastAsia="仿宋" w:cs="仿宋"/>
          <w:color w:val="000000"/>
          <w:kern w:val="0"/>
          <w:sz w:val="32"/>
          <w:szCs w:val="32"/>
        </w:rPr>
        <w:t>万元，占政府采购支出总额的</w:t>
      </w:r>
      <w:r>
        <w:rPr>
          <w:rFonts w:hint="eastAsia" w:ascii="仿宋" w:hAnsi="仿宋" w:eastAsia="仿宋" w:cs="仿宋"/>
          <w:color w:val="000000"/>
          <w:kern w:val="0"/>
          <w:sz w:val="32"/>
          <w:szCs w:val="32"/>
          <w:lang w:val="en-US" w:eastAsia="zh-CN"/>
        </w:rPr>
        <w:t>0</w:t>
      </w:r>
      <w:r>
        <w:rPr>
          <w:rFonts w:hint="eastAsia" w:ascii="仿宋" w:hAnsi="仿宋" w:eastAsia="仿宋" w:cs="仿宋"/>
          <w:color w:val="000000"/>
          <w:kern w:val="0"/>
          <w:sz w:val="32"/>
          <w:szCs w:val="32"/>
        </w:rPr>
        <w:t>%，其中授予小微企业合同金额</w:t>
      </w:r>
      <w:r>
        <w:rPr>
          <w:rFonts w:hint="eastAsia" w:ascii="仿宋" w:hAnsi="仿宋" w:eastAsia="仿宋" w:cs="仿宋"/>
          <w:color w:val="000000"/>
          <w:kern w:val="0"/>
          <w:sz w:val="32"/>
          <w:szCs w:val="32"/>
          <w:lang w:val="en-US" w:eastAsia="zh-CN"/>
        </w:rPr>
        <w:t>0</w:t>
      </w:r>
      <w:r>
        <w:rPr>
          <w:rFonts w:hint="eastAsia" w:ascii="仿宋" w:hAnsi="仿宋" w:eastAsia="仿宋" w:cs="仿宋"/>
          <w:color w:val="000000"/>
          <w:kern w:val="0"/>
          <w:sz w:val="32"/>
          <w:szCs w:val="32"/>
        </w:rPr>
        <w:t>万元，占政府采购支出总额的</w:t>
      </w:r>
      <w:r>
        <w:rPr>
          <w:rFonts w:hint="eastAsia" w:ascii="仿宋" w:hAnsi="仿宋" w:eastAsia="仿宋" w:cs="仿宋"/>
          <w:color w:val="000000"/>
          <w:kern w:val="0"/>
          <w:sz w:val="32"/>
          <w:szCs w:val="32"/>
          <w:lang w:val="en-US" w:eastAsia="zh-CN"/>
        </w:rPr>
        <w:t>0</w:t>
      </w:r>
      <w:r>
        <w:rPr>
          <w:rFonts w:hint="eastAsia" w:ascii="仿宋" w:hAnsi="仿宋" w:eastAsia="仿宋" w:cs="仿宋"/>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辆，比上年增加（减少）</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辆，主要是</w:t>
      </w:r>
      <w:r>
        <w:rPr>
          <w:rFonts w:hint="eastAsia" w:ascii="仿宋_GB2312" w:eastAsia="仿宋_GB2312" w:cs="DengXian-Regular"/>
          <w:sz w:val="32"/>
          <w:szCs w:val="32"/>
          <w:lang w:eastAsia="zh-CN"/>
        </w:rPr>
        <w:t>无车辆变化</w:t>
      </w:r>
      <w:r>
        <w:rPr>
          <w:rFonts w:hint="eastAsia" w:ascii="仿宋_GB2312" w:eastAsia="仿宋_GB2312" w:cs="DengXian-Regular"/>
          <w:sz w:val="32"/>
          <w:szCs w:val="32"/>
        </w:rPr>
        <w:t>。其中，副部（省）级及以上领导用车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辆，主要领导干部用车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辆，机要通信用车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辆，应急保障用车</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辆，执法执勤用车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辆，特种专业技术用车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辆，离退休干部用车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辆，其他用车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辆，其他用车主要是</w:t>
      </w:r>
      <w:r>
        <w:rPr>
          <w:rFonts w:hint="eastAsia" w:ascii="仿宋_GB2312" w:eastAsia="仿宋_GB2312" w:cs="DengXian-Regular"/>
          <w:sz w:val="32"/>
          <w:szCs w:val="32"/>
          <w:lang w:eastAsia="zh-CN"/>
        </w:rPr>
        <w:t>无其他用车</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台（套），比上年增加（减少）</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套，主要是</w:t>
      </w:r>
      <w:r>
        <w:rPr>
          <w:rFonts w:hint="eastAsia" w:ascii="仿宋_GB2312" w:eastAsia="仿宋_GB2312" w:cs="DengXian-Regular"/>
          <w:sz w:val="32"/>
          <w:szCs w:val="32"/>
          <w:lang w:eastAsia="zh-CN"/>
        </w:rPr>
        <w:t>无价值</w:t>
      </w:r>
      <w:r>
        <w:rPr>
          <w:rFonts w:hint="eastAsia" w:ascii="仿宋_GB2312" w:eastAsia="仿宋_GB2312" w:cs="DengXian-Regular"/>
          <w:sz w:val="32"/>
          <w:szCs w:val="32"/>
          <w:lang w:val="en-US" w:eastAsia="zh-CN"/>
        </w:rPr>
        <w:t>50万元以上的通用设备</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台（套）比上年增加（减少）</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套,主要是</w:t>
      </w:r>
      <w:r>
        <w:rPr>
          <w:rFonts w:hint="eastAsia" w:ascii="仿宋_GB2312" w:eastAsia="仿宋_GB2312" w:cs="DengXian-Regular"/>
          <w:sz w:val="32"/>
          <w:szCs w:val="32"/>
          <w:lang w:eastAsia="zh-CN"/>
        </w:rPr>
        <w:t>无价值</w:t>
      </w:r>
      <w:r>
        <w:rPr>
          <w:rFonts w:hint="eastAsia" w:ascii="仿宋_GB2312" w:eastAsia="仿宋_GB2312" w:cs="DengXian-Regular"/>
          <w:sz w:val="32"/>
          <w:szCs w:val="32"/>
          <w:lang w:val="en-US" w:eastAsia="zh-CN"/>
        </w:rPr>
        <w:t>100万元以上的通用设备</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1、本部门2018年度</w:t>
      </w:r>
      <w:r>
        <w:rPr>
          <w:rFonts w:hint="eastAsia" w:ascii="仿宋" w:hAnsi="仿宋" w:eastAsia="仿宋" w:cs="仿宋"/>
          <w:sz w:val="32"/>
          <w:szCs w:val="32"/>
          <w:lang w:eastAsia="zh-CN"/>
        </w:rPr>
        <w:t>财政拨款支出有</w:t>
      </w:r>
      <w:r>
        <w:rPr>
          <w:rFonts w:hint="eastAsia" w:ascii="仿宋" w:hAnsi="仿宋" w:eastAsia="仿宋" w:cs="仿宋"/>
          <w:sz w:val="32"/>
          <w:szCs w:val="32"/>
        </w:rPr>
        <w:t>结转</w:t>
      </w:r>
      <w:r>
        <w:rPr>
          <w:rFonts w:hint="eastAsia" w:ascii="仿宋" w:hAnsi="仿宋" w:eastAsia="仿宋" w:cs="仿宋"/>
          <w:sz w:val="32"/>
          <w:szCs w:val="32"/>
          <w:lang w:val="en-US" w:eastAsia="zh-CN"/>
        </w:rPr>
        <w:t>6.30万元</w:t>
      </w:r>
      <w:r>
        <w:rPr>
          <w:rFonts w:hint="eastAsia" w:ascii="仿宋" w:hAnsi="仿宋" w:eastAsia="仿宋" w:cs="仿宋"/>
          <w:sz w:val="32"/>
          <w:szCs w:val="32"/>
        </w:rPr>
        <w:t>，</w:t>
      </w:r>
      <w:r>
        <w:rPr>
          <w:rFonts w:hint="eastAsia" w:ascii="仿宋" w:hAnsi="仿宋" w:eastAsia="仿宋" w:cs="仿宋"/>
          <w:sz w:val="32"/>
          <w:szCs w:val="32"/>
          <w:lang w:eastAsia="zh-CN"/>
        </w:rPr>
        <w:t>其中包括工资增资补助</w:t>
      </w:r>
      <w:r>
        <w:rPr>
          <w:rFonts w:hint="eastAsia" w:ascii="仿宋" w:hAnsi="仿宋" w:eastAsia="仿宋" w:cs="仿宋"/>
          <w:sz w:val="32"/>
          <w:szCs w:val="32"/>
          <w:lang w:val="en-US" w:eastAsia="zh-CN"/>
        </w:rPr>
        <w:t>4.32万元和变压器购置资金1.98万元</w:t>
      </w:r>
      <w:r>
        <w:rPr>
          <w:rFonts w:hint="eastAsia" w:ascii="仿宋" w:hAnsi="仿宋" w:eastAsia="仿宋" w:cs="仿宋"/>
          <w:sz w:val="32"/>
          <w:szCs w:val="32"/>
        </w:rPr>
        <w:t>。</w:t>
      </w:r>
    </w:p>
    <w:p>
      <w:pPr>
        <w:adjustRightInd w:val="0"/>
        <w:snapToGrid w:val="0"/>
        <w:spacing w:after="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2、由于决算公开表格中金额数值应当保留两位小数，公开数据为四舍五入计算结果，个别数据合计项与分项之和存在小数点后差额，特此说明。</w:t>
      </w:r>
    </w:p>
    <w:p>
      <w:pPr>
        <w:widowControl/>
        <w:spacing w:after="0" w:line="580" w:lineRule="exact"/>
        <w:ind w:firstLine="643" w:firstLineChars="200"/>
        <w:jc w:val="left"/>
        <w:rPr>
          <w:rFonts w:hint="eastAsia" w:ascii="仿宋" w:hAnsi="仿宋" w:eastAsia="仿宋" w:cs="仿宋"/>
          <w:b/>
          <w:bCs/>
          <w:kern w:val="0"/>
          <w:sz w:val="32"/>
          <w:szCs w:val="32"/>
        </w:rPr>
        <w:sectPr>
          <w:pgSz w:w="11906" w:h="16838"/>
          <w:pgMar w:top="2098" w:right="1474" w:bottom="1984" w:left="1588" w:header="851" w:footer="992" w:gutter="0"/>
          <w:cols w:space="0" w:num="1"/>
          <w:docGrid w:type="lines" w:linePitch="312" w:charSpace="0"/>
        </w:sect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r>
        <w:rPr>
          <w:rFonts w:hint="eastAsia" w:hAnsi="宋体" w:asciiTheme="minorEastAsia" w:eastAsiaTheme="minorEastAsia"/>
          <w:color w:val="000000" w:themeColor="text1"/>
          <w:sz w:val="96"/>
          <w:szCs w:val="96"/>
        </w:rPr>
        <w:t>第四部分</w:t>
      </w:r>
    </w:p>
    <w:p>
      <w:pPr>
        <w:widowControl/>
        <w:spacing w:line="1200" w:lineRule="exact"/>
        <w:jc w:val="center"/>
        <w:rPr>
          <w:color w:val="000000" w:themeColor="text1"/>
          <w:sz w:val="96"/>
          <w:szCs w:val="96"/>
        </w:rPr>
      </w:pPr>
      <w:r>
        <w:rPr>
          <w:rFonts w:hint="eastAsia" w:hAnsi="宋体" w:asciiTheme="minorEastAsia" w:eastAsiaTheme="minorEastAsia"/>
          <w:color w:val="000000" w:themeColor="text1"/>
          <w:sz w:val="96"/>
          <w:szCs w:val="96"/>
        </w:rPr>
        <w:t>名词解释</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rPr>
          <w:rFonts w:ascii="仿宋_GB2312" w:eastAsia="仿宋_GB2312" w:cs="ArialUnicodeMS" w:hAnsiTheme="minorHAnsi"/>
          <w:kern w:val="0"/>
          <w:sz w:val="32"/>
          <w:szCs w:val="32"/>
        </w:rPr>
      </w:pP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BBAC438-03BF-41B1-96A9-C1E1E158B8C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12560E5-37B7-4357-9410-C1BD26858992}"/>
  </w:font>
  <w:font w:name="Cambria">
    <w:panose1 w:val="02040503050406030204"/>
    <w:charset w:val="00"/>
    <w:family w:val="roman"/>
    <w:pitch w:val="default"/>
    <w:sig w:usb0="E00006FF" w:usb1="420024FF" w:usb2="02000000" w:usb3="00000000" w:csb0="2000019F" w:csb1="00000000"/>
    <w:embedRegular r:id="rId3" w:fontKey="{28F42B45-62CF-4C5B-9B5F-1507A31667B7}"/>
  </w:font>
  <w:font w:name="楷体">
    <w:panose1 w:val="02010609060101010101"/>
    <w:charset w:val="86"/>
    <w:family w:val="modern"/>
    <w:pitch w:val="default"/>
    <w:sig w:usb0="800002BF" w:usb1="38CF7CFA" w:usb2="00000016" w:usb3="00000000" w:csb0="00040001" w:csb1="00000000"/>
    <w:embedRegular r:id="rId4" w:fontKey="{A28F6593-9B0B-4C2D-8E0F-D74FBA6846E5}"/>
  </w:font>
  <w:font w:name="仿宋_GB2312">
    <w:panose1 w:val="02010609030101010101"/>
    <w:charset w:val="86"/>
    <w:family w:val="modern"/>
    <w:pitch w:val="default"/>
    <w:sig w:usb0="00000001" w:usb1="080E0000" w:usb2="00000000" w:usb3="00000000" w:csb0="00040000" w:csb1="00000000"/>
    <w:embedRegular r:id="rId5" w:fontKey="{6407B9F5-6EE9-4596-895B-A8513357A7B8}"/>
  </w:font>
  <w:font w:name="ArialUnicodeMS">
    <w:altName w:val="Malgun Gothic"/>
    <w:panose1 w:val="00000000000000000000"/>
    <w:charset w:val="81"/>
    <w:family w:val="auto"/>
    <w:pitch w:val="default"/>
    <w:sig w:usb0="00000000" w:usb1="00000000" w:usb2="00000010" w:usb3="00000000" w:csb0="00080001" w:csb1="00000000"/>
    <w:embedRegular r:id="rId6" w:fontKey="{EBFC61C6-2D10-4CE0-8414-75245834BFCD}"/>
  </w:font>
  <w:font w:name="MS-UIGothic,Bold">
    <w:altName w:val="Malgun Gothic"/>
    <w:panose1 w:val="00000000000000000000"/>
    <w:charset w:val="81"/>
    <w:family w:val="auto"/>
    <w:pitch w:val="default"/>
    <w:sig w:usb0="00000000" w:usb1="00000000" w:usb2="00000010" w:usb3="00000000" w:csb0="00080000" w:csb1="00000000"/>
    <w:embedRegular r:id="rId7" w:fontKey="{C2FFE42F-0E3C-4944-9A93-52A15AFC3AF0}"/>
  </w:font>
  <w:font w:name="仿宋">
    <w:panose1 w:val="02010609060101010101"/>
    <w:charset w:val="86"/>
    <w:family w:val="auto"/>
    <w:pitch w:val="default"/>
    <w:sig w:usb0="800002BF" w:usb1="38CF7CFA" w:usb2="00000016" w:usb3="00000000" w:csb0="00040001" w:csb1="00000000"/>
    <w:embedRegular r:id="rId8" w:fontKey="{46305B66-CEE8-4B8E-970F-82F519710860}"/>
  </w:font>
  <w:font w:name="DengXian-Regular">
    <w:altName w:val="宋体"/>
    <w:panose1 w:val="00000000000000000000"/>
    <w:charset w:val="86"/>
    <w:family w:val="auto"/>
    <w:pitch w:val="default"/>
    <w:sig w:usb0="00000000" w:usb1="00000000" w:usb2="00000010" w:usb3="00000000" w:csb0="00040001" w:csb1="00000000"/>
    <w:embedRegular r:id="rId9" w:fontKey="{0C17DD98-56AA-476A-896C-F8F3BEECB86B}"/>
  </w:font>
  <w:font w:name="楷体_GB2312">
    <w:altName w:val="楷体"/>
    <w:panose1 w:val="00000000000000000000"/>
    <w:charset w:val="86"/>
    <w:family w:val="modern"/>
    <w:pitch w:val="default"/>
    <w:sig w:usb0="00000000" w:usb1="00000000" w:usb2="00000010" w:usb3="00000000" w:csb0="00040000" w:csb1="00000000"/>
    <w:embedRegular r:id="rId10" w:fontKey="{DF73C4B1-ED59-4A05-A3D8-9B910B245F2D}"/>
  </w:font>
  <w:font w:name="DengXian-Bold">
    <w:altName w:val="宋体"/>
    <w:panose1 w:val="00000000000000000000"/>
    <w:charset w:val="86"/>
    <w:family w:val="auto"/>
    <w:pitch w:val="default"/>
    <w:sig w:usb0="00000000" w:usb1="00000000" w:usb2="00000010" w:usb3="00000000" w:csb0="00040001" w:csb1="00000000"/>
    <w:embedRegular r:id="rId11" w:fontKey="{D87FD73D-5C83-4379-B3B1-D432CE50D954}"/>
  </w:font>
  <w:font w:name="TimesNewRomanPSMT">
    <w:altName w:val="Arial"/>
    <w:panose1 w:val="00000000000000000000"/>
    <w:charset w:val="00"/>
    <w:family w:val="swiss"/>
    <w:pitch w:val="default"/>
    <w:sig w:usb0="00000000" w:usb1="00000000" w:usb2="00000000" w:usb3="00000000" w:csb0="00000001" w:csb1="0000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59F7CD57"/>
    <w:multiLevelType w:val="singleLevel"/>
    <w:tmpl w:val="59F7CD57"/>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lMjY1ZGY5Mzk0ZmI1NTVmMzkxODFiOTIyNGJjOGEifQ=="/>
  </w:docVars>
  <w:rsids>
    <w:rsidRoot w:val="003C1413"/>
    <w:rsid w:val="00020FAF"/>
    <w:rsid w:val="00022474"/>
    <w:rsid w:val="00024E7F"/>
    <w:rsid w:val="000475A0"/>
    <w:rsid w:val="00067693"/>
    <w:rsid w:val="000838C3"/>
    <w:rsid w:val="000B2446"/>
    <w:rsid w:val="000D7C65"/>
    <w:rsid w:val="000E2F81"/>
    <w:rsid w:val="00101F8D"/>
    <w:rsid w:val="00117946"/>
    <w:rsid w:val="00117E2C"/>
    <w:rsid w:val="00146C47"/>
    <w:rsid w:val="00152FB8"/>
    <w:rsid w:val="00176658"/>
    <w:rsid w:val="0018239E"/>
    <w:rsid w:val="001B3410"/>
    <w:rsid w:val="001B7503"/>
    <w:rsid w:val="001C030D"/>
    <w:rsid w:val="001C4A84"/>
    <w:rsid w:val="001E5902"/>
    <w:rsid w:val="00233705"/>
    <w:rsid w:val="00246D99"/>
    <w:rsid w:val="00257266"/>
    <w:rsid w:val="00262306"/>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374A3"/>
    <w:rsid w:val="00493686"/>
    <w:rsid w:val="004B6E37"/>
    <w:rsid w:val="004C32BA"/>
    <w:rsid w:val="004C68EF"/>
    <w:rsid w:val="00575922"/>
    <w:rsid w:val="005A3C0D"/>
    <w:rsid w:val="005A6C90"/>
    <w:rsid w:val="005B37E6"/>
    <w:rsid w:val="005E3FB0"/>
    <w:rsid w:val="005F4B66"/>
    <w:rsid w:val="005F5208"/>
    <w:rsid w:val="00615C31"/>
    <w:rsid w:val="00641318"/>
    <w:rsid w:val="0064405D"/>
    <w:rsid w:val="00695557"/>
    <w:rsid w:val="006D4EA7"/>
    <w:rsid w:val="0070012A"/>
    <w:rsid w:val="0070664B"/>
    <w:rsid w:val="007071B8"/>
    <w:rsid w:val="007155C2"/>
    <w:rsid w:val="007414DE"/>
    <w:rsid w:val="00760C0C"/>
    <w:rsid w:val="007905A9"/>
    <w:rsid w:val="007E072B"/>
    <w:rsid w:val="007E5500"/>
    <w:rsid w:val="007F055B"/>
    <w:rsid w:val="00811C2F"/>
    <w:rsid w:val="00833D46"/>
    <w:rsid w:val="00836215"/>
    <w:rsid w:val="00840A97"/>
    <w:rsid w:val="00872B02"/>
    <w:rsid w:val="00873292"/>
    <w:rsid w:val="008A640A"/>
    <w:rsid w:val="008C0149"/>
    <w:rsid w:val="008D5DED"/>
    <w:rsid w:val="008E25CA"/>
    <w:rsid w:val="008F34FC"/>
    <w:rsid w:val="00944CD7"/>
    <w:rsid w:val="00961190"/>
    <w:rsid w:val="009831B2"/>
    <w:rsid w:val="009A1ABE"/>
    <w:rsid w:val="009E21A4"/>
    <w:rsid w:val="009F22C6"/>
    <w:rsid w:val="00A07E50"/>
    <w:rsid w:val="00A12C15"/>
    <w:rsid w:val="00A15397"/>
    <w:rsid w:val="00A35CE0"/>
    <w:rsid w:val="00A4462E"/>
    <w:rsid w:val="00A44AA4"/>
    <w:rsid w:val="00A61623"/>
    <w:rsid w:val="00A84687"/>
    <w:rsid w:val="00AA0458"/>
    <w:rsid w:val="00AB0A0E"/>
    <w:rsid w:val="00AD3B6E"/>
    <w:rsid w:val="00AF6D31"/>
    <w:rsid w:val="00B1751F"/>
    <w:rsid w:val="00B50F96"/>
    <w:rsid w:val="00B56722"/>
    <w:rsid w:val="00B67044"/>
    <w:rsid w:val="00B74D39"/>
    <w:rsid w:val="00B827C6"/>
    <w:rsid w:val="00B91DA4"/>
    <w:rsid w:val="00BA7174"/>
    <w:rsid w:val="00C12630"/>
    <w:rsid w:val="00C34562"/>
    <w:rsid w:val="00C3774E"/>
    <w:rsid w:val="00C57456"/>
    <w:rsid w:val="00C65387"/>
    <w:rsid w:val="00C87FAB"/>
    <w:rsid w:val="00C91FF7"/>
    <w:rsid w:val="00C92D15"/>
    <w:rsid w:val="00C94E53"/>
    <w:rsid w:val="00CE3FC3"/>
    <w:rsid w:val="00D0048E"/>
    <w:rsid w:val="00D23E7A"/>
    <w:rsid w:val="00D56D8F"/>
    <w:rsid w:val="00D61063"/>
    <w:rsid w:val="00DB35AF"/>
    <w:rsid w:val="00DD72D7"/>
    <w:rsid w:val="00DF5B88"/>
    <w:rsid w:val="00E0589E"/>
    <w:rsid w:val="00E0697F"/>
    <w:rsid w:val="00E241FA"/>
    <w:rsid w:val="00E2595E"/>
    <w:rsid w:val="00E35374"/>
    <w:rsid w:val="00E50C19"/>
    <w:rsid w:val="00E64655"/>
    <w:rsid w:val="00E73081"/>
    <w:rsid w:val="00E856C9"/>
    <w:rsid w:val="00EA4F68"/>
    <w:rsid w:val="00EB6A8B"/>
    <w:rsid w:val="00EC6814"/>
    <w:rsid w:val="00ED411D"/>
    <w:rsid w:val="00EF38C6"/>
    <w:rsid w:val="00F679C7"/>
    <w:rsid w:val="00F7711A"/>
    <w:rsid w:val="00F80C72"/>
    <w:rsid w:val="00FA0D58"/>
    <w:rsid w:val="00FA1580"/>
    <w:rsid w:val="00FA56F4"/>
    <w:rsid w:val="00FB4EDA"/>
    <w:rsid w:val="00FD3BD5"/>
    <w:rsid w:val="00FE3DC8"/>
    <w:rsid w:val="015202A2"/>
    <w:rsid w:val="02200C74"/>
    <w:rsid w:val="0349568D"/>
    <w:rsid w:val="04073F84"/>
    <w:rsid w:val="08BB262B"/>
    <w:rsid w:val="0B60750A"/>
    <w:rsid w:val="0F14300B"/>
    <w:rsid w:val="10686488"/>
    <w:rsid w:val="10DF728A"/>
    <w:rsid w:val="1264200E"/>
    <w:rsid w:val="141C5B77"/>
    <w:rsid w:val="18D8339D"/>
    <w:rsid w:val="1A21388F"/>
    <w:rsid w:val="1A570D2F"/>
    <w:rsid w:val="1D60072F"/>
    <w:rsid w:val="1F6C334A"/>
    <w:rsid w:val="28FB0B8D"/>
    <w:rsid w:val="2D2B7942"/>
    <w:rsid w:val="2D46481D"/>
    <w:rsid w:val="2E733B28"/>
    <w:rsid w:val="307E2DBB"/>
    <w:rsid w:val="31852B5A"/>
    <w:rsid w:val="32D01238"/>
    <w:rsid w:val="39CC16AE"/>
    <w:rsid w:val="3DFC59A8"/>
    <w:rsid w:val="3ECF245E"/>
    <w:rsid w:val="3FB96314"/>
    <w:rsid w:val="51523B6F"/>
    <w:rsid w:val="53A44FAF"/>
    <w:rsid w:val="556E35F8"/>
    <w:rsid w:val="594329EC"/>
    <w:rsid w:val="5BEE1540"/>
    <w:rsid w:val="5C297614"/>
    <w:rsid w:val="5DE61A5D"/>
    <w:rsid w:val="61F956EE"/>
    <w:rsid w:val="63C04243"/>
    <w:rsid w:val="649C01C7"/>
    <w:rsid w:val="699A3F60"/>
    <w:rsid w:val="72902E62"/>
    <w:rsid w:val="73715AC3"/>
    <w:rsid w:val="73C61104"/>
    <w:rsid w:val="776452EA"/>
    <w:rsid w:val="7DC663B9"/>
    <w:rsid w:val="7E27161B"/>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autoRedefine/>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autoRedefine/>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autoRedefine/>
    <w:unhideWhenUsed/>
    <w:qFormat/>
    <w:uiPriority w:val="1"/>
  </w:style>
  <w:style w:type="table" w:default="1" w:styleId="12">
    <w:name w:val="Normal Table"/>
    <w:autoRedefine/>
    <w:unhideWhenUsed/>
    <w:qFormat/>
    <w:uiPriority w:val="99"/>
    <w:tblPr>
      <w:tblCellMar>
        <w:top w:w="0" w:type="dxa"/>
        <w:left w:w="108" w:type="dxa"/>
        <w:bottom w:w="0" w:type="dxa"/>
        <w:right w:w="108" w:type="dxa"/>
      </w:tblCellMar>
    </w:tblPr>
  </w:style>
  <w:style w:type="paragraph" w:styleId="6">
    <w:name w:val="Date"/>
    <w:basedOn w:val="1"/>
    <w:next w:val="1"/>
    <w:link w:val="31"/>
    <w:autoRedefine/>
    <w:unhideWhenUsed/>
    <w:qFormat/>
    <w:uiPriority w:val="99"/>
    <w:pPr>
      <w:ind w:left="100" w:leftChars="2500"/>
    </w:pPr>
  </w:style>
  <w:style w:type="paragraph" w:styleId="7">
    <w:name w:val="Balloon Text"/>
    <w:basedOn w:val="1"/>
    <w:link w:val="19"/>
    <w:autoRedefine/>
    <w:unhideWhenUsed/>
    <w:qFormat/>
    <w:uiPriority w:val="99"/>
    <w:rPr>
      <w:sz w:val="18"/>
      <w:szCs w:val="18"/>
    </w:rPr>
  </w:style>
  <w:style w:type="paragraph" w:styleId="8">
    <w:name w:val="footer"/>
    <w:basedOn w:val="1"/>
    <w:link w:val="16"/>
    <w:autoRedefine/>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autoRedefine/>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autoRedefine/>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autoRedefine/>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autoRedefine/>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autoRedefine/>
    <w:qFormat/>
    <w:uiPriority w:val="99"/>
    <w:rPr>
      <w:sz w:val="18"/>
      <w:szCs w:val="18"/>
    </w:rPr>
  </w:style>
  <w:style w:type="character" w:customStyle="1" w:styleId="16">
    <w:name w:val="页脚 Char"/>
    <w:basedOn w:val="14"/>
    <w:link w:val="8"/>
    <w:autoRedefine/>
    <w:qFormat/>
    <w:uiPriority w:val="99"/>
    <w:rPr>
      <w:sz w:val="18"/>
      <w:szCs w:val="18"/>
    </w:rPr>
  </w:style>
  <w:style w:type="paragraph" w:customStyle="1" w:styleId="17">
    <w:name w:val="No Spacing"/>
    <w:link w:val="18"/>
    <w:autoRedefine/>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autoRedefine/>
    <w:qFormat/>
    <w:uiPriority w:val="1"/>
    <w:rPr>
      <w:kern w:val="0"/>
      <w:sz w:val="22"/>
    </w:rPr>
  </w:style>
  <w:style w:type="character" w:customStyle="1" w:styleId="19">
    <w:name w:val="批注框文本 Char"/>
    <w:basedOn w:val="14"/>
    <w:link w:val="7"/>
    <w:autoRedefine/>
    <w:semiHidden/>
    <w:qFormat/>
    <w:uiPriority w:val="99"/>
    <w:rPr>
      <w:rFonts w:ascii="Times New Roman" w:hAnsi="Times New Roman" w:eastAsia="宋体" w:cs="Times New Roman"/>
      <w:sz w:val="18"/>
      <w:szCs w:val="18"/>
    </w:rPr>
  </w:style>
  <w:style w:type="character" w:customStyle="1" w:styleId="20">
    <w:name w:val="标题 Char"/>
    <w:basedOn w:val="14"/>
    <w:link w:val="11"/>
    <w:autoRedefine/>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autoRedefine/>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autoRedefine/>
    <w:qFormat/>
    <w:uiPriority w:val="1"/>
    <w:rPr>
      <w:rFonts w:asciiTheme="minorHAnsi" w:hAnsiTheme="minorEastAsia" w:eastAsiaTheme="minorEastAsia" w:cstheme="minorBidi"/>
      <w:sz w:val="22"/>
      <w:szCs w:val="22"/>
      <w:lang w:eastAsia="zh-CN"/>
    </w:rPr>
  </w:style>
  <w:style w:type="character" w:customStyle="1" w:styleId="23">
    <w:name w:val="Style2"/>
    <w:basedOn w:val="14"/>
    <w:autoRedefine/>
    <w:qFormat/>
    <w:uiPriority w:val="1"/>
    <w:rPr>
      <w:rFonts w:asciiTheme="minorHAnsi" w:hAnsiTheme="minorEastAsia" w:eastAsiaTheme="minorEastAsia" w:cstheme="minorBidi"/>
      <w:sz w:val="22"/>
      <w:szCs w:val="22"/>
      <w:lang w:eastAsia="zh-CN"/>
    </w:rPr>
  </w:style>
  <w:style w:type="character" w:customStyle="1" w:styleId="24">
    <w:name w:val="Style3"/>
    <w:basedOn w:val="14"/>
    <w:autoRedefine/>
    <w:qFormat/>
    <w:uiPriority w:val="1"/>
    <w:rPr>
      <w:rFonts w:asciiTheme="minorHAnsi" w:hAnsiTheme="minorEastAsia" w:eastAsiaTheme="minorEastAsia" w:cstheme="minorBidi"/>
      <w:szCs w:val="22"/>
      <w:lang w:eastAsia="zh-CN"/>
    </w:rPr>
  </w:style>
  <w:style w:type="character" w:customStyle="1" w:styleId="25">
    <w:name w:val="Style4"/>
    <w:basedOn w:val="14"/>
    <w:autoRedefine/>
    <w:qFormat/>
    <w:uiPriority w:val="1"/>
    <w:rPr>
      <w:rFonts w:asciiTheme="minorHAnsi" w:hAnsiTheme="minorEastAsia" w:eastAsiaTheme="minorEastAsia" w:cstheme="minorBidi"/>
      <w:szCs w:val="22"/>
      <w:lang w:eastAsia="zh-CN"/>
    </w:rPr>
  </w:style>
  <w:style w:type="character" w:customStyle="1" w:styleId="26">
    <w:name w:val="Style5"/>
    <w:basedOn w:val="14"/>
    <w:autoRedefine/>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autoRedefine/>
    <w:qFormat/>
    <w:uiPriority w:val="9"/>
    <w:rPr>
      <w:rFonts w:ascii="Times New Roman" w:hAnsi="Times New Roman" w:eastAsia="宋体" w:cs="Times New Roman"/>
      <w:b/>
      <w:bCs/>
      <w:kern w:val="44"/>
      <w:sz w:val="44"/>
      <w:szCs w:val="44"/>
    </w:rPr>
  </w:style>
  <w:style w:type="character" w:customStyle="1" w:styleId="28">
    <w:name w:val="标题 2 Char"/>
    <w:basedOn w:val="14"/>
    <w:link w:val="3"/>
    <w:autoRedefine/>
    <w:qFormat/>
    <w:uiPriority w:val="9"/>
    <w:rPr>
      <w:rFonts w:asciiTheme="majorHAnsi" w:hAnsiTheme="majorHAnsi" w:eastAsiaTheme="majorEastAsia" w:cstheme="majorBidi"/>
      <w:b/>
      <w:bCs/>
      <w:sz w:val="32"/>
      <w:szCs w:val="32"/>
    </w:rPr>
  </w:style>
  <w:style w:type="character" w:customStyle="1" w:styleId="29">
    <w:name w:val="标题 3 Char"/>
    <w:basedOn w:val="14"/>
    <w:link w:val="4"/>
    <w:autoRedefine/>
    <w:qFormat/>
    <w:uiPriority w:val="9"/>
    <w:rPr>
      <w:rFonts w:ascii="Times New Roman" w:hAnsi="Times New Roman" w:eastAsia="宋体" w:cs="Times New Roman"/>
      <w:b/>
      <w:bCs/>
      <w:sz w:val="32"/>
      <w:szCs w:val="32"/>
    </w:rPr>
  </w:style>
  <w:style w:type="character" w:customStyle="1" w:styleId="30">
    <w:name w:val="标题 4 Char"/>
    <w:basedOn w:val="14"/>
    <w:link w:val="5"/>
    <w:autoRedefine/>
    <w:qFormat/>
    <w:uiPriority w:val="9"/>
    <w:rPr>
      <w:rFonts w:asciiTheme="majorHAnsi" w:hAnsiTheme="majorHAnsi" w:eastAsiaTheme="majorEastAsia" w:cstheme="majorBidi"/>
      <w:b/>
      <w:bCs/>
      <w:sz w:val="28"/>
      <w:szCs w:val="28"/>
    </w:rPr>
  </w:style>
  <w:style w:type="character" w:customStyle="1" w:styleId="31">
    <w:name w:val="日期 Char"/>
    <w:basedOn w:val="14"/>
    <w:link w:val="6"/>
    <w:autoRedefine/>
    <w:semiHidden/>
    <w:qFormat/>
    <w:uiPriority w:val="99"/>
    <w:rPr>
      <w:rFonts w:ascii="Times New Roman" w:hAnsi="Times New Roman" w:eastAsia="宋体" w:cs="Times New Roman"/>
      <w:szCs w:val="24"/>
    </w:rPr>
  </w:style>
  <w:style w:type="paragraph" w:customStyle="1" w:styleId="32">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spPr>
            <a:ln w="19050">
              <a:noFill/>
            </a:ln>
          </c:spPr>
          <c:explosion val="0"/>
          <c:dPt>
            <c:idx val="0"/>
            <c:bubble3D val="0"/>
            <c:spPr>
              <a:solidFill>
                <a:schemeClr val="accent1">
                  <a:tint val="100000"/>
                  <a:shade val="100000"/>
                  <a:hueMod val="100000"/>
                  <a:satMod val="100000"/>
                </a:schemeClr>
              </a:solidFill>
              <a:ln w="19050">
                <a:noFill/>
              </a:ln>
              <a:effectLst/>
            </c:spPr>
          </c:dPt>
          <c:dPt>
            <c:idx val="1"/>
            <c:bubble3D val="0"/>
            <c:spPr>
              <a:solidFill>
                <a:schemeClr val="accent2">
                  <a:tint val="100000"/>
                  <a:shade val="100000"/>
                  <a:hueMod val="100000"/>
                  <a:satMod val="100000"/>
                </a:schemeClr>
              </a:solidFill>
              <a:ln w="19050">
                <a:no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基本支出</c:v>
                </c:pt>
                <c:pt idx="1">
                  <c:v>项目支出</c:v>
                </c:pt>
              </c:strCache>
            </c:strRef>
          </c:cat>
          <c:val>
            <c:numRef>
              <c:f>Sheet1!$B$2:$B$3</c:f>
              <c:numCache>
                <c:formatCode>0.00%</c:formatCode>
                <c:ptCount val="2"/>
                <c:pt idx="0">
                  <c:v>0.7349</c:v>
                </c:pt>
                <c:pt idx="1">
                  <c:v>0.2651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045"/>
          <c:y val="0.0847666666666667"/>
          <c:w val="0.6116"/>
          <c:h val="0.815466666666667"/>
        </c:manualLayout>
      </c:layout>
      <c:pieChart>
        <c:varyColors val="1"/>
        <c:ser>
          <c:idx val="0"/>
          <c:order val="0"/>
          <c:tx>
            <c:strRef>
              <c:f>Sheet1!$B$1</c:f>
              <c:strCache>
                <c:ptCount val="1"/>
                <c:pt idx="0">
                  <c:v>销售额</c:v>
                </c:pt>
              </c:strCache>
            </c:strRef>
          </c:tx>
          <c:spPr>
            <a:solidFill>
              <a:srgbClr val="FF0000"/>
            </a:solidFill>
          </c:spPr>
          <c:explosion val="0"/>
          <c:dPt>
            <c:idx val="0"/>
            <c:bubble3D val="0"/>
            <c:spPr>
              <a:solidFill>
                <a:srgbClr val="FF0000"/>
              </a:solidFill>
              <a:ln w="19050">
                <a:solidFill>
                  <a:schemeClr val="lt1"/>
                </a:solidFill>
              </a:ln>
              <a:effectLst/>
            </c:spPr>
          </c:dPt>
          <c:dPt>
            <c:idx val="1"/>
            <c:bubble3D val="0"/>
            <c:spPr>
              <a:solidFill>
                <a:srgbClr val="00B050"/>
              </a:solidFill>
              <a:ln w="19050">
                <a:solidFill>
                  <a:schemeClr val="lt1"/>
                </a:solidFill>
              </a:ln>
              <a:effectLst/>
            </c:spPr>
          </c:dPt>
          <c:dLbls>
            <c:dLbl>
              <c:idx val="0"/>
              <c:layout>
                <c:manualLayout>
                  <c:x val="-0.0190034589322151"/>
                  <c:y val="-0.3937936857768"/>
                </c:manualLayout>
              </c:layout>
              <c:tx>
                <c:rich>
                  <a:bodyPr rot="0" spcFirstLastPara="0" vertOverflow="ellipsis" vert="horz" wrap="square" lIns="38100" tIns="19050" rIns="38100" bIns="19050" anchor="ctr" anchorCtr="1"/>
                  <a:lstStyle/>
                  <a:p>
                    <a:pPr defTabSz="914400">
                      <a:defRPr lang="zh-CN" sz="1800" b="0" i="0" u="none" strike="noStrike" kern="1200" baseline="0">
                        <a:solidFill>
                          <a:schemeClr val="tx1">
                            <a:lumMod val="75000"/>
                            <a:lumOff val="25000"/>
                          </a:schemeClr>
                        </a:solidFill>
                        <a:latin typeface="+mn-lt"/>
                        <a:ea typeface="+mn-ea"/>
                        <a:cs typeface="+mn-cs"/>
                      </a:defRPr>
                    </a:pPr>
                    <a:r>
                      <a:rPr lang="en-US" altLang="zh-CN" sz="1800"/>
                      <a:t>98.23%</a:t>
                    </a:r>
                    <a:endParaRPr lang="en-US" altLang="zh-CN" sz="1800"/>
                  </a:p>
                </c:rich>
              </c:tx>
              <c:numFmt formatCode="General" sourceLinked="1"/>
              <c:spPr>
                <a:noFill/>
                <a:ln>
                  <a:noFill/>
                </a:ln>
                <a:effectLst/>
              </c:spPr>
              <c:txPr>
                <a:bodyPr rot="0" spcFirstLastPara="0" vertOverflow="ellipsis" vert="horz" wrap="square" lIns="38100" tIns="19050" rIns="38100" bIns="19050" anchor="ctr" anchorCtr="1"/>
                <a:lstStyle/>
                <a:p>
                  <a:pPr>
                    <a:defRPr lang="zh-CN" sz="18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extLst>
                <c:ext xmlns:c15="http://schemas.microsoft.com/office/drawing/2012/chart" uri="{CE6537A1-D6FC-4f65-9D91-7224C49458BB}">
                  <c15:layout>
                    <c:manualLayout>
                      <c:w val="0.267125"/>
                      <c:h val="0.0921666666666667"/>
                    </c:manualLayout>
                  </c15:layout>
                </c:ext>
              </c:extLst>
            </c:dLbl>
            <c:dLbl>
              <c:idx val="1"/>
              <c:layout>
                <c:manualLayout>
                  <c:x val="-0.00148228408868346"/>
                  <c:y val="0.00306588044879"/>
                </c:manualLayout>
              </c:layout>
              <c:tx>
                <c:rich>
                  <a:bodyPr rot="0" spcFirstLastPara="0" vertOverflow="ellipsis" vert="horz" wrap="square" lIns="38100" tIns="19050" rIns="38100" bIns="19050" anchor="ctr" anchorCtr="1"/>
                  <a:lstStyle/>
                  <a:p>
                    <a:pPr defTabSz="914400">
                      <a:defRPr lang="zh-CN" sz="1500" b="0" i="0" u="none" strike="noStrike" kern="1200" baseline="0">
                        <a:solidFill>
                          <a:schemeClr val="tx1">
                            <a:lumMod val="75000"/>
                            <a:lumOff val="25000"/>
                          </a:schemeClr>
                        </a:solidFill>
                        <a:latin typeface="+mn-lt"/>
                        <a:ea typeface="+mn-ea"/>
                        <a:cs typeface="+mn-cs"/>
                      </a:defRPr>
                    </a:pPr>
                    <a:r>
                      <a:rPr lang="en-US" altLang="zh-CN" sz="1500"/>
                      <a:t>1.77%</a:t>
                    </a:r>
                    <a:endParaRPr lang="en-US" altLang="zh-CN" sz="1500"/>
                  </a:p>
                </c:rich>
              </c:tx>
              <c:numFmt formatCode="General" sourceLinked="1"/>
              <c:spPr>
                <a:noFill/>
                <a:ln>
                  <a:noFill/>
                </a:ln>
                <a:effectLst/>
              </c:spPr>
              <c:txPr>
                <a:bodyPr rot="0" spcFirstLastPara="0" vertOverflow="ellipsis" vert="horz" wrap="square" lIns="38100" tIns="19050" rIns="38100" bIns="19050" anchor="ctr" anchorCtr="1"/>
                <a:lstStyle/>
                <a:p>
                  <a:pPr>
                    <a:defRPr lang="zh-CN" sz="15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extLst>
                <c:ext xmlns:c15="http://schemas.microsoft.com/office/drawing/2012/chart" uri="{CE6537A1-D6FC-4f65-9D91-7224C49458BB}">
                  <c15:layout>
                    <c:manualLayout>
                      <c:w val="0.150375"/>
                      <c:h val="0.0919739696312364"/>
                    </c:manualLayout>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本年支出</c:v>
                </c:pt>
                <c:pt idx="1">
                  <c:v>本年结余</c:v>
                </c:pt>
              </c:strCache>
            </c:strRef>
          </c:cat>
          <c:val>
            <c:numRef>
              <c:f>Sheet1!$B$2:$B$3</c:f>
              <c:numCache>
                <c:formatCode>General</c:formatCode>
                <c:ptCount val="2"/>
                <c:pt idx="0">
                  <c:v>348.16</c:v>
                </c:pt>
                <c:pt idx="1">
                  <c:v>6.3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ltLang="zh-CN"/>
              <a:t>财政拨款收支预决算对比表</a:t>
            </a:r>
            <a:endParaRPr altLang="zh-CN"/>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预算收入</c:v>
                </c:pt>
              </c:strCache>
            </c:strRef>
          </c:tx>
          <c:spPr>
            <a:gradFill>
              <a:gsLst>
                <a:gs pos="0">
                  <a:srgbClr val="FBFB11"/>
                </a:gs>
                <a:gs pos="100000">
                  <a:srgbClr val="838309"/>
                </a:gs>
              </a:gsLst>
              <a:lin scaled="0"/>
            </a:gradFill>
            <a:ln>
              <a:noFill/>
            </a:ln>
            <a:effectLst/>
          </c:spPr>
          <c:invertIfNegative val="0"/>
          <c:dLbls>
            <c:delete val="1"/>
          </c:dLbls>
          <c:cat>
            <c:numRef>
              <c:f>Sheet1!$A$2:$A$3</c:f>
              <c:numCache>
                <c:formatCode>General</c:formatCode>
                <c:ptCount val="2"/>
              </c:numCache>
            </c:numRef>
          </c:cat>
          <c:val>
            <c:numRef>
              <c:f>Sheet1!$B$2:$B$3</c:f>
              <c:numCache>
                <c:formatCode>General</c:formatCode>
                <c:ptCount val="2"/>
                <c:pt idx="0">
                  <c:v>278.08</c:v>
                </c:pt>
              </c:numCache>
            </c:numRef>
          </c:val>
        </c:ser>
        <c:ser>
          <c:idx val="1"/>
          <c:order val="1"/>
          <c:tx>
            <c:strRef>
              <c:f>Sheet1!$C$1</c:f>
              <c:strCache>
                <c:ptCount val="1"/>
                <c:pt idx="0">
                  <c:v>决算收入</c:v>
                </c:pt>
              </c:strCache>
            </c:strRef>
          </c:tx>
          <c:spPr>
            <a:gradFill>
              <a:gsLst>
                <a:gs pos="0">
                  <a:srgbClr val="14CD68"/>
                </a:gs>
                <a:gs pos="100000">
                  <a:srgbClr val="035C7D"/>
                </a:gs>
              </a:gsLst>
              <a:lin scaled="0"/>
            </a:gradFill>
            <a:ln>
              <a:noFill/>
            </a:ln>
            <a:effectLst/>
          </c:spPr>
          <c:invertIfNegative val="0"/>
          <c:dLbls>
            <c:delete val="1"/>
          </c:dLbls>
          <c:cat>
            <c:numRef>
              <c:f>Sheet1!$A$2:$A$3</c:f>
              <c:numCache>
                <c:formatCode>General</c:formatCode>
                <c:ptCount val="2"/>
              </c:numCache>
            </c:numRef>
          </c:cat>
          <c:val>
            <c:numRef>
              <c:f>Sheet1!$C$2:$C$3</c:f>
              <c:numCache>
                <c:formatCode>General</c:formatCode>
                <c:ptCount val="2"/>
                <c:pt idx="0">
                  <c:v>355.15</c:v>
                </c:pt>
              </c:numCache>
            </c:numRef>
          </c:val>
        </c:ser>
        <c:ser>
          <c:idx val="2"/>
          <c:order val="2"/>
          <c:tx>
            <c:strRef>
              <c:f>Sheet1!$D$1</c:f>
              <c:strCache>
                <c:ptCount val="1"/>
                <c:pt idx="0">
                  <c:v>预算支出</c:v>
                </c:pt>
              </c:strCache>
            </c:strRef>
          </c:tx>
          <c:spPr>
            <a:gradFill>
              <a:gsLst>
                <a:gs pos="0">
                  <a:srgbClr val="E30000"/>
                </a:gs>
                <a:gs pos="100000">
                  <a:srgbClr val="760303"/>
                </a:gs>
              </a:gsLst>
              <a:lin scaled="0"/>
            </a:gradFill>
            <a:ln>
              <a:noFill/>
            </a:ln>
            <a:effectLst/>
          </c:spPr>
          <c:invertIfNegative val="0"/>
          <c:dLbls>
            <c:delete val="1"/>
          </c:dLbls>
          <c:cat>
            <c:numRef>
              <c:f>Sheet1!$A$2:$A$3</c:f>
              <c:numCache>
                <c:formatCode>General</c:formatCode>
                <c:ptCount val="2"/>
              </c:numCache>
            </c:numRef>
          </c:cat>
          <c:val>
            <c:numRef>
              <c:f>Sheet1!$D$2:$D$3</c:f>
              <c:numCache>
                <c:formatCode>General</c:formatCode>
                <c:ptCount val="2"/>
                <c:pt idx="1">
                  <c:v>278.08</c:v>
                </c:pt>
              </c:numCache>
            </c:numRef>
          </c:val>
        </c:ser>
        <c:ser>
          <c:idx val="3"/>
          <c:order val="3"/>
          <c:tx>
            <c:strRef>
              <c:f>Sheet1!$E$1</c:f>
              <c:strCache>
                <c:ptCount val="1"/>
                <c:pt idx="0">
                  <c:v>决算支出</c:v>
                </c:pt>
              </c:strCache>
            </c:strRef>
          </c:tx>
          <c:spPr>
            <a:gradFill>
              <a:gsLst>
                <a:gs pos="0">
                  <a:srgbClr val="7B32B2"/>
                </a:gs>
                <a:gs pos="100000">
                  <a:srgbClr val="401A5D"/>
                </a:gs>
              </a:gsLst>
              <a:lin scaled="0"/>
            </a:gradFill>
            <a:ln>
              <a:noFill/>
            </a:ln>
            <a:effectLst/>
          </c:spPr>
          <c:invertIfNegative val="0"/>
          <c:dLbls>
            <c:delete val="1"/>
          </c:dLbls>
          <c:cat>
            <c:numRef>
              <c:f>Sheet1!$A$2:$A$3</c:f>
              <c:numCache>
                <c:formatCode>General</c:formatCode>
                <c:ptCount val="2"/>
              </c:numCache>
            </c:numRef>
          </c:cat>
          <c:val>
            <c:numRef>
              <c:f>Sheet1!$E$2:$E$3</c:f>
              <c:numCache>
                <c:formatCode>General</c:formatCode>
                <c:ptCount val="2"/>
                <c:pt idx="1">
                  <c:v>348.86</c:v>
                </c:pt>
              </c:numCache>
            </c:numRef>
          </c:val>
        </c:ser>
        <c:dLbls>
          <c:showLegendKey val="0"/>
          <c:showVal val="0"/>
          <c:showCatName val="0"/>
          <c:showSerName val="0"/>
          <c:showPercent val="0"/>
          <c:showBubbleSize val="0"/>
        </c:dLbls>
        <c:gapWidth val="219"/>
        <c:overlap val="-27"/>
        <c:axId val="145874937"/>
        <c:axId val="787013131"/>
      </c:barChart>
      <c:catAx>
        <c:axId val="14587493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7013131"/>
        <c:crosses val="autoZero"/>
        <c:auto val="1"/>
        <c:lblAlgn val="ctr"/>
        <c:lblOffset val="100"/>
        <c:noMultiLvlLbl val="0"/>
      </c:catAx>
      <c:valAx>
        <c:axId val="7870131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587493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59DA58-3CA2-4856-9A51-CD581AE1A768}">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20</Pages>
  <Words>1657</Words>
  <Characters>9446</Characters>
  <Lines>78</Lines>
  <Paragraphs>22</Paragraphs>
  <TotalTime>35</TotalTime>
  <ScaleCrop>false</ScaleCrop>
  <LinksUpToDate>false</LinksUpToDate>
  <CharactersWithSpaces>11081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2019-09-26T01:09:00Z</dcterms:created>
  <dc:creator>User</dc:creator>
  <cp:lastModifiedBy>DELL</cp:lastModifiedBy>
  <cp:lastPrinted>2019-09-27T00:42:00Z</cp:lastPrinted>
  <dcterms:modified xsi:type="dcterms:W3CDTF">2024-05-16T07:41:11Z</dcterms:modified>
  <dc:subject>石家庄市xxx部门</dc:subject>
  <dc:title>2017年度部门决算</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1D028D32E8314792816B42A0706855BE_13</vt:lpwstr>
  </property>
</Properties>
</file>