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rPr>
          <w:sz w:val="30"/>
          <w:szCs w:val="30"/>
        </w:rPr>
      </w:pPr>
    </w:p>
    <w:p>
      <w:pPr>
        <w:spacing w:line="584" w:lineRule="exact"/>
        <w:jc w:val="center"/>
        <w:rPr>
          <w:b/>
          <w:sz w:val="72"/>
          <w:szCs w:val="72"/>
        </w:rPr>
      </w:pPr>
    </w:p>
    <w:p>
      <w:pPr>
        <w:spacing w:line="584" w:lineRule="exact"/>
        <w:jc w:val="center"/>
        <w:rPr>
          <w:b/>
          <w:sz w:val="72"/>
          <w:szCs w:val="72"/>
        </w:rPr>
      </w:pPr>
    </w:p>
    <w:p>
      <w:pPr>
        <w:spacing w:line="1000" w:lineRule="exact"/>
        <w:jc w:val="center"/>
        <w:rPr>
          <w:color w:val="auto"/>
          <w:sz w:val="84"/>
          <w:szCs w:val="84"/>
        </w:rPr>
      </w:pPr>
      <w:r>
        <w:rPr>
          <w:color w:val="auto"/>
          <w:sz w:val="84"/>
          <w:szCs w:val="84"/>
        </w:rPr>
        <w:t>2017年度部门决算公开</w:t>
      </w:r>
    </w:p>
    <w:p>
      <w:pPr>
        <w:spacing w:line="584" w:lineRule="exact"/>
        <w:jc w:val="center"/>
        <w:rPr>
          <w:b/>
          <w:sz w:val="72"/>
          <w:szCs w:val="72"/>
        </w:rPr>
      </w:pPr>
    </w:p>
    <w:p>
      <w:pPr>
        <w:spacing w:line="584" w:lineRule="exact"/>
        <w:jc w:val="center"/>
        <w:rPr>
          <w:b/>
          <w:sz w:val="72"/>
          <w:szCs w:val="72"/>
        </w:rPr>
      </w:pPr>
    </w:p>
    <w:p>
      <w:pPr>
        <w:spacing w:line="584" w:lineRule="exact"/>
        <w:jc w:val="center"/>
        <w:rPr>
          <w:b/>
          <w:sz w:val="72"/>
          <w:szCs w:val="72"/>
        </w:rPr>
      </w:pPr>
    </w:p>
    <w:p>
      <w:pPr>
        <w:spacing w:line="584" w:lineRule="exact"/>
        <w:jc w:val="center"/>
        <w:rPr>
          <w:b/>
          <w:sz w:val="72"/>
          <w:szCs w:val="72"/>
        </w:rPr>
      </w:pPr>
    </w:p>
    <w:p>
      <w:pPr>
        <w:spacing w:line="584" w:lineRule="exact"/>
        <w:jc w:val="center"/>
        <w:rPr>
          <w:b/>
          <w:sz w:val="72"/>
          <w:szCs w:val="72"/>
        </w:rPr>
      </w:pPr>
    </w:p>
    <w:p>
      <w:pPr>
        <w:spacing w:line="584" w:lineRule="exact"/>
        <w:jc w:val="center"/>
        <w:rPr>
          <w:b/>
          <w:sz w:val="44"/>
          <w:szCs w:val="44"/>
        </w:rPr>
      </w:pPr>
    </w:p>
    <w:p>
      <w:pPr>
        <w:spacing w:line="584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84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84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84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大城县残疾人联合会</w:t>
      </w:r>
      <w:r>
        <w:rPr>
          <w:b/>
          <w:sz w:val="44"/>
          <w:szCs w:val="44"/>
        </w:rPr>
        <w:t>部门</w:t>
      </w:r>
    </w:p>
    <w:p>
      <w:pPr>
        <w:widowControl/>
        <w:spacing w:line="584" w:lineRule="exact"/>
        <w:jc w:val="center"/>
        <w:rPr>
          <w:rFonts w:hint="eastAsia" w:ascii="方正小标宋简体" w:hAnsi="Calibri" w:eastAsia="方正小标宋简体" w:cs="Times New Roman"/>
          <w:sz w:val="44"/>
          <w:szCs w:val="44"/>
        </w:rPr>
      </w:pPr>
    </w:p>
    <w:p>
      <w:pPr>
        <w:widowControl/>
        <w:spacing w:line="584" w:lineRule="exact"/>
        <w:jc w:val="center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部门决算公开目录</w:t>
      </w:r>
    </w:p>
    <w:p>
      <w:pPr>
        <w:spacing w:line="584" w:lineRule="exact"/>
        <w:ind w:firstLine="640"/>
        <w:rPr>
          <w:rFonts w:hint="eastAsia" w:eastAsia="黑体"/>
          <w:sz w:val="32"/>
          <w:szCs w:val="32"/>
          <w:lang w:val="en-US" w:eastAsia="zh-CN"/>
        </w:rPr>
      </w:pPr>
    </w:p>
    <w:p>
      <w:pPr>
        <w:spacing w:line="584" w:lineRule="exact"/>
        <w:ind w:firstLine="640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 xml:space="preserve">第一部分 </w:t>
      </w:r>
      <w:r>
        <w:rPr>
          <w:rFonts w:hint="eastAsia" w:ascii="Calibri" w:hAnsi="Calibri" w:eastAsia="黑体" w:cs="Times New Roman"/>
          <w:sz w:val="32"/>
          <w:szCs w:val="32"/>
          <w:lang w:eastAsia="zh-CN"/>
        </w:rPr>
        <w:t>大城县残疾人联合会</w:t>
      </w:r>
      <w:r>
        <w:rPr>
          <w:rFonts w:ascii="Calibri" w:hAnsi="Calibri" w:eastAsia="黑体" w:cs="Times New Roman"/>
          <w:sz w:val="32"/>
          <w:szCs w:val="32"/>
        </w:rPr>
        <w:t>部门概况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一、</w:t>
      </w:r>
      <w:r>
        <w:rPr>
          <w:rFonts w:ascii="Calibri" w:hAnsi="Calibri" w:eastAsia="仿宋_GB2312" w:cs="Times New Roman"/>
          <w:sz w:val="32"/>
          <w:szCs w:val="32"/>
        </w:rPr>
        <w:t>部门职责</w:t>
      </w:r>
    </w:p>
    <w:p>
      <w:pPr>
        <w:spacing w:line="584" w:lineRule="exact"/>
        <w:ind w:firstLine="1273" w:firstLineChars="398"/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二、部门决算单位构成</w:t>
      </w:r>
    </w:p>
    <w:p>
      <w:pPr>
        <w:spacing w:line="584" w:lineRule="exact"/>
        <w:ind w:firstLine="640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 xml:space="preserve">第二部分 </w:t>
      </w:r>
      <w:r>
        <w:rPr>
          <w:rFonts w:hint="eastAsia" w:ascii="Calibri" w:hAnsi="Calibri" w:eastAsia="黑体" w:cs="Times New Roman"/>
          <w:sz w:val="32"/>
          <w:szCs w:val="32"/>
          <w:lang w:eastAsia="zh-CN"/>
        </w:rPr>
        <w:t>大城县残疾人联合会</w:t>
      </w:r>
      <w:r>
        <w:rPr>
          <w:rFonts w:ascii="Calibri" w:hAnsi="Calibri" w:eastAsia="黑体" w:cs="Times New Roman"/>
          <w:sz w:val="32"/>
          <w:szCs w:val="32"/>
        </w:rPr>
        <w:t>部门</w:t>
      </w:r>
      <w:r>
        <w:rPr>
          <w:rFonts w:hint="eastAsia" w:ascii="Calibri" w:hAnsi="Calibri" w:eastAsia="黑体" w:cs="Times New Roman"/>
          <w:sz w:val="32"/>
          <w:szCs w:val="32"/>
          <w:lang w:eastAsia="zh-CN"/>
        </w:rPr>
        <w:t>2017</w:t>
      </w:r>
      <w:r>
        <w:rPr>
          <w:rFonts w:ascii="Calibri" w:hAnsi="Calibri" w:eastAsia="黑体" w:cs="Times New Roman"/>
          <w:sz w:val="32"/>
          <w:szCs w:val="32"/>
        </w:rPr>
        <w:t>年度部门决算报表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一、</w:t>
      </w:r>
      <w:r>
        <w:rPr>
          <w:rFonts w:ascii="Calibri" w:hAnsi="Calibri" w:eastAsia="仿宋_GB2312" w:cs="Times New Roman"/>
          <w:sz w:val="32"/>
          <w:szCs w:val="32"/>
        </w:rPr>
        <w:t>收入支出决算总表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二、</w:t>
      </w:r>
      <w:r>
        <w:rPr>
          <w:rFonts w:ascii="Calibri" w:hAnsi="Calibri" w:eastAsia="仿宋_GB2312" w:cs="Times New Roman"/>
          <w:sz w:val="32"/>
          <w:szCs w:val="32"/>
        </w:rPr>
        <w:t>收入决算表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  <w:t>三、</w:t>
      </w:r>
      <w:r>
        <w:rPr>
          <w:rFonts w:ascii="Calibri" w:hAnsi="Calibri" w:eastAsia="仿宋_GB2312" w:cs="Times New Roman"/>
          <w:sz w:val="32"/>
          <w:szCs w:val="32"/>
        </w:rPr>
        <w:t>支出决算表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  <w:t>四、</w:t>
      </w:r>
      <w:r>
        <w:rPr>
          <w:rFonts w:ascii="Calibri" w:hAnsi="Calibri" w:eastAsia="仿宋_GB2312" w:cs="Times New Roman"/>
          <w:sz w:val="32"/>
          <w:szCs w:val="32"/>
        </w:rPr>
        <w:t>财政拨款收入支出决算总表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  <w:t>五、</w:t>
      </w:r>
      <w:r>
        <w:rPr>
          <w:rFonts w:ascii="Calibri" w:hAnsi="Calibri" w:eastAsia="仿宋_GB2312" w:cs="Times New Roman"/>
          <w:sz w:val="32"/>
          <w:szCs w:val="32"/>
        </w:rPr>
        <w:t>一般公共预算财政拨款支出决算表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  <w:t>六、</w:t>
      </w:r>
      <w:r>
        <w:rPr>
          <w:rFonts w:ascii="Calibri" w:hAnsi="Calibri" w:eastAsia="仿宋_GB2312" w:cs="Times New Roman"/>
          <w:sz w:val="32"/>
          <w:szCs w:val="32"/>
        </w:rPr>
        <w:t>一般公共预算财政拨款基本支出决算表</w:t>
      </w:r>
    </w:p>
    <w:p>
      <w:pPr>
        <w:spacing w:line="584" w:lineRule="exact"/>
        <w:ind w:firstLine="1280" w:firstLineChars="400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七</w:t>
      </w: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、</w:t>
      </w:r>
      <w:r>
        <w:rPr>
          <w:rFonts w:ascii="Calibri" w:hAnsi="Calibri" w:eastAsia="仿宋_GB2312" w:cs="Times New Roman"/>
          <w:sz w:val="32"/>
          <w:szCs w:val="32"/>
        </w:rPr>
        <w:t>政府性基金预算财政拨款收入支出决算表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0"/>
        </w:rPr>
        <w:t>八</w:t>
      </w:r>
      <w:r>
        <w:rPr>
          <w:rFonts w:hint="eastAsia" w:ascii="Calibri" w:hAnsi="Calibri" w:eastAsia="仿宋_GB2312" w:cs="Times New Roman"/>
          <w:sz w:val="32"/>
          <w:szCs w:val="30"/>
          <w:lang w:eastAsia="zh-CN"/>
        </w:rPr>
        <w:t>、</w:t>
      </w:r>
      <w:r>
        <w:rPr>
          <w:rFonts w:ascii="Calibri" w:hAnsi="Calibri" w:eastAsia="仿宋_GB2312" w:cs="Times New Roman"/>
          <w:sz w:val="32"/>
          <w:szCs w:val="30"/>
        </w:rPr>
        <w:t>国有资本经营预算财政拨款支出决算表</w:t>
      </w:r>
    </w:p>
    <w:p>
      <w:pPr>
        <w:spacing w:line="584" w:lineRule="exact"/>
        <w:ind w:firstLine="1280" w:firstLineChars="400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九</w:t>
      </w: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、</w:t>
      </w:r>
      <w:r>
        <w:rPr>
          <w:rFonts w:ascii="Calibri" w:hAnsi="Calibri" w:eastAsia="仿宋_GB2312" w:cs="Times New Roman"/>
          <w:sz w:val="32"/>
          <w:szCs w:val="32"/>
        </w:rPr>
        <w:t>“三公”经费及相关信息统计表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十</w:t>
      </w: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、</w:t>
      </w:r>
      <w:r>
        <w:rPr>
          <w:rFonts w:ascii="Calibri" w:hAnsi="Calibri" w:eastAsia="仿宋_GB2312" w:cs="Times New Roman"/>
          <w:sz w:val="32"/>
          <w:szCs w:val="32"/>
        </w:rPr>
        <w:t>政府采购情况表</w:t>
      </w:r>
    </w:p>
    <w:p>
      <w:pPr>
        <w:spacing w:line="584" w:lineRule="exact"/>
        <w:ind w:firstLine="640"/>
        <w:rPr>
          <w:rFonts w:ascii="Calibri" w:hAnsi="Calibri" w:eastAsia="黑体" w:cs="Times New Roman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>第三部分</w:t>
      </w:r>
      <w:r>
        <w:rPr>
          <w:rFonts w:ascii="Calibri" w:hAnsi="Calibri" w:eastAsia="黑体" w:cs="Times New Roman"/>
          <w:sz w:val="32"/>
          <w:szCs w:val="32"/>
        </w:rPr>
        <w:t xml:space="preserve"> </w:t>
      </w:r>
      <w:r>
        <w:rPr>
          <w:rFonts w:hint="eastAsia" w:ascii="Calibri" w:hAnsi="Calibri" w:eastAsia="黑体" w:cs="Times New Roman"/>
          <w:sz w:val="32"/>
          <w:szCs w:val="32"/>
          <w:lang w:eastAsia="zh-CN"/>
        </w:rPr>
        <w:t>大城县残疾人联合会</w:t>
      </w:r>
      <w:r>
        <w:rPr>
          <w:rFonts w:ascii="Calibri" w:hAnsi="Calibri" w:eastAsia="黑体" w:cs="Times New Roman"/>
          <w:sz w:val="32"/>
          <w:szCs w:val="32"/>
        </w:rPr>
        <w:t>部门</w:t>
      </w:r>
      <w:r>
        <w:rPr>
          <w:rFonts w:hint="eastAsia" w:ascii="Calibri" w:hAnsi="Calibri" w:eastAsia="黑体" w:cs="Times New Roman"/>
          <w:sz w:val="32"/>
          <w:szCs w:val="32"/>
          <w:lang w:eastAsia="zh-CN"/>
        </w:rPr>
        <w:t>2017</w:t>
      </w:r>
      <w:r>
        <w:rPr>
          <w:rFonts w:ascii="Calibri" w:hAnsi="Calibri" w:eastAsia="黑体" w:cs="Times New Roman"/>
          <w:sz w:val="32"/>
          <w:szCs w:val="32"/>
        </w:rPr>
        <w:t>年度部门决算情况说明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一</w:t>
      </w: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、</w:t>
      </w:r>
      <w:r>
        <w:rPr>
          <w:rFonts w:ascii="Calibri" w:hAnsi="Calibri" w:eastAsia="仿宋_GB2312" w:cs="Times New Roman"/>
          <w:sz w:val="32"/>
          <w:szCs w:val="32"/>
        </w:rPr>
        <w:t>收入支出决算总体情况说明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二</w:t>
      </w: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、</w:t>
      </w:r>
      <w:r>
        <w:rPr>
          <w:rFonts w:ascii="Calibri" w:hAnsi="Calibri" w:eastAsia="仿宋_GB2312" w:cs="Times New Roman"/>
          <w:sz w:val="32"/>
          <w:szCs w:val="32"/>
        </w:rPr>
        <w:t>收入决算情况说明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三</w:t>
      </w: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、</w:t>
      </w:r>
      <w:r>
        <w:rPr>
          <w:rFonts w:ascii="Calibri" w:hAnsi="Calibri" w:eastAsia="仿宋_GB2312" w:cs="Times New Roman"/>
          <w:sz w:val="32"/>
          <w:szCs w:val="32"/>
        </w:rPr>
        <w:t>支出决算情况说明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四</w:t>
      </w: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、</w:t>
      </w:r>
      <w:r>
        <w:rPr>
          <w:rFonts w:ascii="Calibri" w:hAnsi="Calibri" w:eastAsia="仿宋_GB2312" w:cs="Times New Roman"/>
          <w:sz w:val="32"/>
          <w:szCs w:val="32"/>
        </w:rPr>
        <w:t>财政拨款收入支出决算总体情况说明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五</w:t>
      </w: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、</w:t>
      </w:r>
      <w:r>
        <w:rPr>
          <w:rFonts w:ascii="Calibri" w:hAnsi="Calibri" w:eastAsia="仿宋_GB2312" w:cs="Times New Roman"/>
          <w:sz w:val="32"/>
          <w:szCs w:val="32"/>
        </w:rPr>
        <w:t>“三公”经费支出决算情况说明</w:t>
      </w:r>
    </w:p>
    <w:p>
      <w:pPr>
        <w:spacing w:line="584" w:lineRule="exact"/>
        <w:ind w:firstLine="1273" w:firstLineChars="398"/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</w:pPr>
      <w:r>
        <w:rPr>
          <w:rFonts w:ascii="Calibri" w:hAnsi="Calibri" w:eastAsia="仿宋_GB2312" w:cs="Times New Roman"/>
          <w:sz w:val="32"/>
          <w:szCs w:val="32"/>
        </w:rPr>
        <w:t>六</w:t>
      </w: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  <w:t>预算绩效管理工作开展情况说明</w:t>
      </w:r>
    </w:p>
    <w:p>
      <w:pPr>
        <w:spacing w:line="584" w:lineRule="exact"/>
        <w:ind w:firstLine="1273" w:firstLineChars="398"/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  <w:t>七、其他重要事项的说明</w:t>
      </w:r>
    </w:p>
    <w:p>
      <w:pPr>
        <w:spacing w:line="584" w:lineRule="exact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　　　　　　1．机关运行经费情况</w:t>
      </w:r>
    </w:p>
    <w:p>
      <w:pPr>
        <w:spacing w:line="584" w:lineRule="exact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0"/>
          <w:lang w:val="en-US" w:eastAsia="zh-CN"/>
        </w:rPr>
        <w:t>　　　　　　2．</w:t>
      </w:r>
      <w:r>
        <w:rPr>
          <w:rFonts w:ascii="Calibri" w:hAnsi="Calibri" w:eastAsia="仿宋_GB2312" w:cs="Times New Roman"/>
          <w:sz w:val="32"/>
          <w:szCs w:val="32"/>
        </w:rPr>
        <w:t>政府采购情况</w:t>
      </w:r>
    </w:p>
    <w:p>
      <w:pPr>
        <w:spacing w:line="584" w:lineRule="exact"/>
        <w:ind w:firstLine="320" w:firstLineChars="100"/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　　　　　</w:t>
      </w:r>
      <w:r>
        <w:rPr>
          <w:rFonts w:hint="eastAsia" w:eastAsia="仿宋_GB2312"/>
          <w:sz w:val="32"/>
          <w:szCs w:val="30"/>
          <w:lang w:val="en-US" w:eastAsia="zh-CN"/>
        </w:rPr>
        <w:t>３</w:t>
      </w:r>
      <w:r>
        <w:rPr>
          <w:rFonts w:hint="eastAsia" w:eastAsia="仿宋_GB2312"/>
          <w:sz w:val="32"/>
          <w:szCs w:val="32"/>
          <w:lang w:val="en-US" w:eastAsia="zh-CN"/>
        </w:rPr>
        <w:t>．</w:t>
      </w:r>
      <w:r>
        <w:rPr>
          <w:rFonts w:ascii="Calibri" w:hAnsi="Calibri" w:eastAsia="仿宋_GB2312" w:cs="Times New Roman"/>
          <w:sz w:val="32"/>
          <w:szCs w:val="32"/>
        </w:rPr>
        <w:t>国有资产</w:t>
      </w:r>
      <w:r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  <w:t>占用情况</w:t>
      </w:r>
    </w:p>
    <w:p>
      <w:pPr>
        <w:spacing w:line="584" w:lineRule="exact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　　　　　　４</w:t>
      </w:r>
      <w:r>
        <w:rPr>
          <w:rFonts w:hint="eastAsia" w:eastAsia="仿宋_GB2312"/>
          <w:sz w:val="32"/>
          <w:szCs w:val="32"/>
          <w:lang w:val="en-US" w:eastAsia="zh-CN"/>
        </w:rPr>
        <w:t>．</w:t>
      </w:r>
      <w:r>
        <w:rPr>
          <w:rFonts w:ascii="Calibri" w:hAnsi="Calibri" w:eastAsia="仿宋_GB2312" w:cs="Times New Roman"/>
          <w:sz w:val="32"/>
          <w:szCs w:val="32"/>
        </w:rPr>
        <w:t>其他需要说明的情况</w:t>
      </w:r>
    </w:p>
    <w:p>
      <w:pPr>
        <w:spacing w:line="584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>第四部分　</w:t>
      </w:r>
      <w:r>
        <w:rPr>
          <w:rFonts w:ascii="Calibri" w:hAnsi="Calibri" w:eastAsia="黑体" w:cs="Times New Roman"/>
          <w:sz w:val="32"/>
          <w:szCs w:val="32"/>
        </w:rPr>
        <w:t>名词解释</w:t>
      </w:r>
    </w:p>
    <w:p>
      <w:pPr>
        <w:spacing w:line="584" w:lineRule="exact"/>
        <w:ind w:firstLine="600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84" w:lineRule="exact"/>
        <w:ind w:firstLine="640"/>
        <w:rPr>
          <w:rFonts w:hint="eastAsia" w:eastAsia="黑体"/>
          <w:sz w:val="32"/>
          <w:szCs w:val="32"/>
          <w:lang w:val="en-US" w:eastAsia="zh-CN"/>
        </w:rPr>
      </w:pPr>
    </w:p>
    <w:p>
      <w:pPr>
        <w:spacing w:line="584" w:lineRule="exact"/>
        <w:ind w:firstLine="640"/>
        <w:rPr>
          <w:rFonts w:hint="eastAsia" w:eastAsia="黑体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584" w:lineRule="exact"/>
        <w:ind w:firstLine="640"/>
        <w:jc w:val="center"/>
        <w:rPr>
          <w:rFonts w:ascii="Calibri" w:hAnsi="Calibri" w:eastAsia="黑体" w:cs="Times New Roman"/>
          <w:sz w:val="32"/>
          <w:szCs w:val="32"/>
        </w:rPr>
      </w:pPr>
      <w:r>
        <w:rPr>
          <w:rFonts w:hint="eastAsia" w:ascii="Calibri" w:hAnsi="Calibri" w:eastAsia="黑体" w:cs="Times New Roman"/>
          <w:sz w:val="32"/>
          <w:szCs w:val="32"/>
          <w:lang w:eastAsia="zh-CN"/>
        </w:rPr>
        <w:t>大城县残疾人联合会</w:t>
      </w:r>
      <w:r>
        <w:rPr>
          <w:rFonts w:ascii="Calibri" w:hAnsi="Calibri" w:eastAsia="黑体" w:cs="Times New Roman"/>
          <w:sz w:val="32"/>
          <w:szCs w:val="32"/>
        </w:rPr>
        <w:t>部门概况</w:t>
      </w:r>
    </w:p>
    <w:p>
      <w:pPr>
        <w:numPr>
          <w:ilvl w:val="0"/>
          <w:numId w:val="0"/>
        </w:numPr>
        <w:spacing w:line="584" w:lineRule="exact"/>
        <w:jc w:val="both"/>
        <w:rPr>
          <w:rFonts w:ascii="Calibri" w:hAnsi="Calibri" w:eastAsia="黑体" w:cs="Times New Roman"/>
          <w:sz w:val="32"/>
          <w:szCs w:val="32"/>
        </w:rPr>
      </w:pPr>
    </w:p>
    <w:p>
      <w:pPr>
        <w:spacing w:line="584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部门职责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1、听取残疾人意见，反映残疾人需求，维护残疾人的合法权益，为残疾人服务。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2、团结、教育残疾人遵纪守法，履行应尽的义务，发扬乐观进取精神，自尊、自信、自立，为社会主义建设贡献力量。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3、 弘扬人道主义，宣传残疾人事业，沟通政府、社会与残疾人之间的联系，动员社会理解、尊重、关心、帮助残疾人。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4、开展残疾人康复、教育、劳动就业、文化、体育、用品用具供应、福利、社会服务、无障碍设施和残疾预防工作；协调落实对残疾人的各种优惠政策，创造良好的环境和条件，扶助残疾人平等参与社会生活。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5、协助县政府研究、制定和实施残疾人事业的地方性政策、规划和计划。对有关领域进行指导和管理。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6、</w:t>
      </w:r>
      <w:r>
        <w:rPr>
          <w:rFonts w:hint="eastAsia" w:ascii="仿宋_GB2312" w:eastAsia="仿宋_GB2312"/>
          <w:sz w:val="32"/>
          <w:szCs w:val="32"/>
          <w:lang w:eastAsia="zh-CN"/>
        </w:rPr>
        <w:t>承担县政府残疾人工作委员会的日常工作，做好综合、组织、协调服务。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  <w:lang w:eastAsia="zh-CN"/>
        </w:rPr>
        <w:t>、协助各乡镇党委、政府，“两区”工委、管委，城区办党委、办事处做好残联工作。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8、负责对各类残疾人社会团体组织进行监督管理。</w:t>
      </w:r>
    </w:p>
    <w:p>
      <w:pPr>
        <w:spacing w:line="584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二、部门决算单位构成</w:t>
      </w:r>
    </w:p>
    <w:p>
      <w:pPr>
        <w:jc w:val="left"/>
        <w:outlineLvl w:val="0"/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根据上述职责，大城县残疾人联合会设置</w:t>
      </w:r>
      <w:r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  <w:t xml:space="preserve">1个综合办公室，1个残疾人就业服务所。        </w:t>
      </w:r>
    </w:p>
    <w:p>
      <w:pPr>
        <w:jc w:val="center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部门机构设置情况</w:t>
      </w:r>
    </w:p>
    <w:tbl>
      <w:tblPr>
        <w:tblStyle w:val="7"/>
        <w:tblW w:w="1498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3"/>
        <w:gridCol w:w="1741"/>
        <w:gridCol w:w="1960"/>
        <w:gridCol w:w="44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tblHeader/>
          <w:jc w:val="center"/>
        </w:trPr>
        <w:tc>
          <w:tcPr>
            <w:tcW w:w="6823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单位名称</w:t>
            </w:r>
          </w:p>
        </w:tc>
        <w:tc>
          <w:tcPr>
            <w:tcW w:w="1741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单位性质</w:t>
            </w:r>
          </w:p>
        </w:tc>
        <w:tc>
          <w:tcPr>
            <w:tcW w:w="1960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单位规格</w:t>
            </w:r>
          </w:p>
        </w:tc>
        <w:tc>
          <w:tcPr>
            <w:tcW w:w="445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经费保障形式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tblHeader/>
          <w:jc w:val="center"/>
        </w:trPr>
        <w:tc>
          <w:tcPr>
            <w:tcW w:w="682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4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60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45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82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大城县残疾人联合会</w:t>
            </w:r>
          </w:p>
        </w:tc>
        <w:tc>
          <w:tcPr>
            <w:tcW w:w="174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事业单位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正科级</w:t>
            </w:r>
          </w:p>
        </w:tc>
        <w:tc>
          <w:tcPr>
            <w:tcW w:w="445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财政性资金基本保证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82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残疾人就业服务所</w:t>
            </w:r>
          </w:p>
        </w:tc>
        <w:tc>
          <w:tcPr>
            <w:tcW w:w="174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事业单位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股级</w:t>
            </w:r>
          </w:p>
        </w:tc>
        <w:tc>
          <w:tcPr>
            <w:tcW w:w="445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自收自支</w:t>
            </w:r>
          </w:p>
        </w:tc>
      </w:tr>
    </w:tbl>
    <w:p>
      <w:pPr>
        <w:numPr>
          <w:ilvl w:val="0"/>
          <w:numId w:val="0"/>
        </w:numPr>
        <w:spacing w:line="584" w:lineRule="exact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spacing w:line="584" w:lineRule="exact"/>
        <w:jc w:val="center"/>
        <w:rPr>
          <w:rFonts w:hint="eastAsia" w:ascii="Calibri" w:hAnsi="Calibri" w:eastAsia="黑体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84" w:lineRule="exact"/>
        <w:jc w:val="center"/>
        <w:rPr>
          <w:rFonts w:hint="eastAsia" w:ascii="Calibri" w:hAnsi="Calibri" w:eastAsia="黑体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84" w:lineRule="exact"/>
        <w:jc w:val="center"/>
        <w:rPr>
          <w:rFonts w:hint="eastAsia" w:ascii="Calibri" w:hAnsi="Calibri" w:eastAsia="黑体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84" w:lineRule="exact"/>
        <w:jc w:val="center"/>
        <w:rPr>
          <w:rFonts w:hint="eastAsia" w:ascii="Calibri" w:hAnsi="Calibri" w:eastAsia="黑体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84" w:lineRule="exact"/>
        <w:jc w:val="center"/>
        <w:rPr>
          <w:rFonts w:hint="eastAsia" w:ascii="Calibri" w:hAnsi="Calibri" w:eastAsia="黑体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84" w:lineRule="exact"/>
        <w:jc w:val="center"/>
        <w:rPr>
          <w:rFonts w:hint="eastAsia" w:ascii="Calibri" w:hAnsi="Calibri" w:eastAsia="黑体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84" w:lineRule="exact"/>
        <w:jc w:val="center"/>
        <w:rPr>
          <w:rFonts w:hint="eastAsia" w:ascii="Calibri" w:hAnsi="Calibri" w:eastAsia="黑体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84" w:lineRule="exact"/>
        <w:jc w:val="center"/>
        <w:rPr>
          <w:rFonts w:hint="eastAsia" w:ascii="Calibri" w:hAnsi="Calibri" w:eastAsia="黑体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84" w:lineRule="exact"/>
        <w:jc w:val="center"/>
        <w:rPr>
          <w:rFonts w:hint="eastAsia" w:ascii="Calibri" w:hAnsi="Calibri" w:eastAsia="黑体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84" w:lineRule="exact"/>
        <w:jc w:val="center"/>
        <w:rPr>
          <w:rFonts w:ascii="Calibri" w:hAnsi="Calibri" w:eastAsia="黑体" w:cs="Times New Roman"/>
          <w:sz w:val="32"/>
          <w:szCs w:val="32"/>
        </w:rPr>
      </w:pPr>
      <w:r>
        <w:rPr>
          <w:rFonts w:hint="eastAsia" w:ascii="Calibri" w:hAnsi="Calibri" w:eastAsia="黑体" w:cs="Times New Roman"/>
          <w:sz w:val="32"/>
          <w:szCs w:val="32"/>
          <w:lang w:val="en-US" w:eastAsia="zh-CN"/>
        </w:rPr>
        <w:t xml:space="preserve">第二部分 </w:t>
      </w:r>
      <w:r>
        <w:rPr>
          <w:rFonts w:hint="eastAsia" w:ascii="Calibri" w:hAnsi="Calibri" w:eastAsia="黑体" w:cs="Times New Roman"/>
          <w:sz w:val="32"/>
          <w:szCs w:val="32"/>
          <w:lang w:eastAsia="zh-CN"/>
        </w:rPr>
        <w:t>大城县残疾人联合会</w:t>
      </w:r>
      <w:r>
        <w:rPr>
          <w:rFonts w:ascii="Calibri" w:hAnsi="Calibri" w:eastAsia="黑体" w:cs="Times New Roman"/>
          <w:sz w:val="32"/>
          <w:szCs w:val="32"/>
        </w:rPr>
        <w:t>部门</w:t>
      </w:r>
      <w:r>
        <w:rPr>
          <w:rFonts w:hint="eastAsia" w:ascii="Calibri" w:hAnsi="Calibri" w:eastAsia="黑体" w:cs="Times New Roman"/>
          <w:sz w:val="32"/>
          <w:szCs w:val="32"/>
          <w:lang w:eastAsia="zh-CN"/>
        </w:rPr>
        <w:t>2017</w:t>
      </w:r>
      <w:r>
        <w:rPr>
          <w:rFonts w:ascii="Calibri" w:hAnsi="Calibri" w:eastAsia="黑体" w:cs="Times New Roman"/>
          <w:sz w:val="32"/>
          <w:szCs w:val="32"/>
        </w:rPr>
        <w:t>年度部门决算报表</w:t>
      </w:r>
    </w:p>
    <w:p>
      <w:pPr>
        <w:numPr>
          <w:ilvl w:val="0"/>
          <w:numId w:val="0"/>
        </w:numPr>
        <w:spacing w:line="584" w:lineRule="exact"/>
        <w:jc w:val="center"/>
        <w:rPr>
          <w:rFonts w:hint="eastAsia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84" w:lineRule="exact"/>
        <w:jc w:val="center"/>
        <w:rPr>
          <w:rFonts w:hint="eastAsia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84" w:lineRule="exact"/>
        <w:jc w:val="center"/>
        <w:rPr>
          <w:rFonts w:hint="eastAsia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84" w:lineRule="exact"/>
        <w:jc w:val="center"/>
        <w:rPr>
          <w:rFonts w:hint="eastAsia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84" w:lineRule="exact"/>
        <w:jc w:val="center"/>
        <w:rPr>
          <w:rFonts w:hint="eastAsia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84" w:lineRule="exact"/>
        <w:jc w:val="center"/>
        <w:rPr>
          <w:rFonts w:hint="eastAsia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84" w:lineRule="exact"/>
        <w:jc w:val="center"/>
        <w:rPr>
          <w:rFonts w:hint="eastAsia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84" w:lineRule="exact"/>
        <w:jc w:val="center"/>
        <w:rPr>
          <w:rFonts w:hint="eastAsia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84" w:lineRule="exact"/>
        <w:jc w:val="center"/>
        <w:rPr>
          <w:rFonts w:hint="eastAsia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84" w:lineRule="exact"/>
        <w:jc w:val="center"/>
        <w:rPr>
          <w:rFonts w:hint="eastAsia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84" w:lineRule="exact"/>
        <w:jc w:val="center"/>
        <w:rPr>
          <w:rFonts w:hint="eastAsia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84" w:lineRule="exact"/>
        <w:jc w:val="center"/>
        <w:rPr>
          <w:rFonts w:hint="eastAsia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84" w:lineRule="exact"/>
        <w:jc w:val="center"/>
        <w:rPr>
          <w:rFonts w:hint="eastAsia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84" w:lineRule="exact"/>
        <w:jc w:val="center"/>
        <w:rPr>
          <w:rFonts w:hint="eastAsia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84" w:lineRule="exact"/>
        <w:jc w:val="center"/>
        <w:rPr>
          <w:rFonts w:hint="eastAsia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84" w:lineRule="exact"/>
        <w:jc w:val="center"/>
        <w:rPr>
          <w:rFonts w:ascii="Calibri" w:hAnsi="Calibri" w:eastAsia="黑体" w:cs="Times New Roman"/>
          <w:sz w:val="32"/>
          <w:szCs w:val="32"/>
        </w:rPr>
      </w:pPr>
      <w:r>
        <w:rPr>
          <w:rFonts w:hint="eastAsia" w:ascii="Calibri" w:hAnsi="Calibri" w:eastAsia="黑体" w:cs="Times New Roman"/>
          <w:sz w:val="32"/>
          <w:szCs w:val="32"/>
          <w:lang w:val="en-US" w:eastAsia="zh-CN"/>
        </w:rPr>
        <w:t xml:space="preserve">第三部分 </w:t>
      </w:r>
      <w:r>
        <w:rPr>
          <w:rFonts w:hint="eastAsia" w:ascii="Calibri" w:hAnsi="Calibri" w:eastAsia="黑体" w:cs="Times New Roman"/>
          <w:sz w:val="32"/>
          <w:szCs w:val="32"/>
          <w:lang w:eastAsia="zh-CN"/>
        </w:rPr>
        <w:t>大城县残疾人联合会</w:t>
      </w:r>
      <w:r>
        <w:rPr>
          <w:rFonts w:ascii="Calibri" w:hAnsi="Calibri" w:eastAsia="黑体" w:cs="Times New Roman"/>
          <w:sz w:val="32"/>
          <w:szCs w:val="32"/>
        </w:rPr>
        <w:t>部门</w:t>
      </w:r>
      <w:r>
        <w:rPr>
          <w:rFonts w:hint="eastAsia" w:ascii="Calibri" w:hAnsi="Calibri" w:eastAsia="黑体" w:cs="Times New Roman"/>
          <w:sz w:val="32"/>
          <w:szCs w:val="32"/>
          <w:lang w:eastAsia="zh-CN"/>
        </w:rPr>
        <w:t>2017</w:t>
      </w:r>
      <w:r>
        <w:rPr>
          <w:rFonts w:ascii="Calibri" w:hAnsi="Calibri" w:eastAsia="黑体" w:cs="Times New Roman"/>
          <w:sz w:val="32"/>
          <w:szCs w:val="32"/>
        </w:rPr>
        <w:t>年度部门决算情况说明</w:t>
      </w:r>
    </w:p>
    <w:p>
      <w:pPr>
        <w:spacing w:line="560" w:lineRule="exact"/>
        <w:ind w:firstLine="640" w:firstLineChars="200"/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一、收入支出决算总体情况说明</w:t>
      </w:r>
    </w:p>
    <w:p>
      <w:pPr>
        <w:snapToGrid w:val="0"/>
        <w:spacing w:line="584" w:lineRule="exact"/>
        <w:ind w:firstLine="64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  <w:t>2017年大城县残疾人联合会部门财政拨款收入404.40万元，其他收入3.15万元，本年合计收入407.55万元。年初结转和结余0.35万元，总计收入407.90万元；用于社会保障和就业支出259.08万元，医疗卫生与计划生育支出3.65万元，其他支出9.27万元，年末结转和结余135.89万元，总计支出407.90万元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二、收入决算情况说明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  <w:lang w:eastAsia="zh-CN"/>
        </w:rPr>
        <w:t>年初结转和结余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3498.45</w:t>
      </w:r>
      <w:r>
        <w:rPr>
          <w:rFonts w:hint="eastAsia" w:ascii="仿宋_GB2312" w:eastAsia="仿宋_GB2312"/>
          <w:sz w:val="32"/>
          <w:szCs w:val="32"/>
          <w:lang w:eastAsia="zh-CN"/>
        </w:rPr>
        <w:t>元，本年收入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407.55万</w:t>
      </w:r>
      <w:r>
        <w:rPr>
          <w:rFonts w:hint="eastAsia" w:ascii="仿宋_GB2312" w:eastAsia="仿宋_GB2312"/>
          <w:sz w:val="32"/>
          <w:szCs w:val="32"/>
          <w:lang w:eastAsia="zh-CN"/>
        </w:rPr>
        <w:t>元，比上年增加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110.72</w:t>
      </w:r>
      <w:r>
        <w:rPr>
          <w:rFonts w:hint="eastAsia" w:ascii="仿宋_GB2312" w:eastAsia="仿宋_GB2312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/>
          <w:sz w:val="32"/>
          <w:lang w:eastAsia="zh-CN"/>
        </w:rPr>
        <w:t>。主要是：一、增补了</w:t>
      </w:r>
      <w:r>
        <w:rPr>
          <w:rFonts w:hint="eastAsia" w:ascii="仿宋_GB2312" w:hAnsi="宋体" w:eastAsia="仿宋_GB2312"/>
          <w:sz w:val="32"/>
          <w:lang w:val="en-US" w:eastAsia="zh-CN"/>
        </w:rPr>
        <w:t>2017年度残疾人参合资金87.15万元；二、上级项目补助专款增加。三、</w:t>
      </w:r>
      <w:r>
        <w:rPr>
          <w:rFonts w:hint="eastAsia" w:ascii="仿宋_GB2312" w:hAnsi="宋体" w:eastAsia="仿宋_GB2312"/>
          <w:sz w:val="32"/>
          <w:lang w:eastAsia="zh-CN"/>
        </w:rPr>
        <w:t>人员经费由于工资上调比去年略有增加。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三、支出决算情况说明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  <w:t>2017年大城县残疾人联合会部门支出合计272.00万元。其中基本支出（行政运行支出）76.76万元；项目支出合计195.24万元，包括一般行政管理事务支</w:t>
      </w:r>
      <w:bookmarkStart w:id="0" w:name="_GoBack"/>
      <w:bookmarkEnd w:id="0"/>
      <w:r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  <w:t>出11万元、残疾人康复支出5.55万元、残疾人就业和扶贫支出54.32万元、其他残疾人事业支出115.10万元、用于残疾人事业的彩票公益金支出9.27万元；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四、财政拨款收入支出决算总体情况说明</w:t>
      </w:r>
    </w:p>
    <w:p>
      <w:pPr>
        <w:spacing w:line="584" w:lineRule="exact"/>
        <w:ind w:firstLine="643" w:firstLineChars="200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（一）财政拨款收支与2016 年度决算对比情况</w:t>
      </w:r>
    </w:p>
    <w:p>
      <w:pPr>
        <w:adjustRightInd w:val="0"/>
        <w:snapToGrid w:val="0"/>
        <w:spacing w:line="584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本部门2017年度财政拨款年初结转和结余</w:t>
      </w:r>
      <w:r>
        <w:rPr>
          <w:rFonts w:hint="eastAsia" w:eastAsia="仿宋_GB2312"/>
          <w:sz w:val="32"/>
          <w:szCs w:val="32"/>
          <w:lang w:val="en-US" w:eastAsia="zh-CN"/>
        </w:rPr>
        <w:t>0.35</w:t>
      </w:r>
      <w:r>
        <w:rPr>
          <w:rFonts w:eastAsia="仿宋_GB2312"/>
          <w:sz w:val="32"/>
          <w:szCs w:val="32"/>
        </w:rPr>
        <w:t>万元、本年收入</w:t>
      </w:r>
      <w:r>
        <w:rPr>
          <w:rFonts w:hint="eastAsia" w:eastAsia="仿宋_GB2312"/>
          <w:sz w:val="32"/>
          <w:szCs w:val="32"/>
          <w:lang w:val="en-US" w:eastAsia="zh-CN"/>
        </w:rPr>
        <w:t>404.40</w:t>
      </w:r>
      <w:r>
        <w:rPr>
          <w:rFonts w:eastAsia="仿宋_GB2312"/>
          <w:sz w:val="32"/>
          <w:szCs w:val="32"/>
        </w:rPr>
        <w:t>万元；本年支出</w:t>
      </w:r>
      <w:r>
        <w:rPr>
          <w:rFonts w:hint="eastAsia" w:eastAsia="仿宋_GB2312"/>
          <w:sz w:val="32"/>
          <w:szCs w:val="32"/>
          <w:lang w:val="en-US" w:eastAsia="zh-CN"/>
        </w:rPr>
        <w:t>271.70</w:t>
      </w:r>
      <w:r>
        <w:rPr>
          <w:rFonts w:eastAsia="仿宋_GB2312"/>
          <w:sz w:val="32"/>
          <w:szCs w:val="32"/>
        </w:rPr>
        <w:t>万元、年末结转和结余</w:t>
      </w:r>
      <w:r>
        <w:rPr>
          <w:rFonts w:hint="eastAsia" w:eastAsia="仿宋_GB2312"/>
          <w:sz w:val="32"/>
          <w:szCs w:val="32"/>
          <w:lang w:val="en-US" w:eastAsia="zh-CN"/>
        </w:rPr>
        <w:t>133.04</w:t>
      </w:r>
      <w:r>
        <w:rPr>
          <w:rFonts w:eastAsia="仿宋_GB2312"/>
          <w:sz w:val="32"/>
          <w:szCs w:val="32"/>
        </w:rPr>
        <w:t>万元。与2016年度决算相比，财政拨款本年收入增加</w:t>
      </w:r>
      <w:r>
        <w:rPr>
          <w:rFonts w:hint="eastAsia" w:eastAsia="仿宋_GB2312"/>
          <w:sz w:val="32"/>
          <w:szCs w:val="32"/>
          <w:lang w:val="en-US" w:eastAsia="zh-CN"/>
        </w:rPr>
        <w:t>116.7</w:t>
      </w:r>
      <w:r>
        <w:rPr>
          <w:rFonts w:eastAsia="仿宋_GB2312"/>
          <w:sz w:val="32"/>
          <w:szCs w:val="32"/>
        </w:rPr>
        <w:t>万元，增长</w:t>
      </w:r>
      <w:r>
        <w:rPr>
          <w:rFonts w:hint="eastAsia" w:eastAsia="仿宋_GB2312"/>
          <w:sz w:val="32"/>
          <w:szCs w:val="32"/>
          <w:lang w:val="en-US" w:eastAsia="zh-CN"/>
        </w:rPr>
        <w:t>40.56</w:t>
      </w:r>
      <w:r>
        <w:rPr>
          <w:rFonts w:eastAsia="仿宋_GB2312"/>
          <w:sz w:val="32"/>
          <w:szCs w:val="32"/>
        </w:rPr>
        <w:t>%，主要原因是</w:t>
      </w:r>
      <w:r>
        <w:rPr>
          <w:rFonts w:hint="eastAsia" w:eastAsia="仿宋_GB2312"/>
          <w:sz w:val="32"/>
          <w:szCs w:val="32"/>
          <w:lang w:val="en-US" w:eastAsia="zh-CN"/>
        </w:rPr>
        <w:t>2016年度残疾人参合资金列支在2017年</w:t>
      </w:r>
      <w:r>
        <w:rPr>
          <w:rFonts w:eastAsia="仿宋_GB2312"/>
          <w:sz w:val="32"/>
          <w:szCs w:val="32"/>
        </w:rPr>
        <w:t>；本年支出减少</w:t>
      </w:r>
      <w:r>
        <w:rPr>
          <w:rFonts w:hint="eastAsia" w:eastAsia="仿宋_GB2312"/>
          <w:sz w:val="32"/>
          <w:szCs w:val="32"/>
          <w:lang w:val="en-US" w:eastAsia="zh-CN"/>
        </w:rPr>
        <w:t>16.8</w:t>
      </w:r>
      <w:r>
        <w:rPr>
          <w:rFonts w:eastAsia="仿宋_GB2312"/>
          <w:sz w:val="32"/>
          <w:szCs w:val="32"/>
        </w:rPr>
        <w:t>万元，降低</w:t>
      </w:r>
      <w:r>
        <w:rPr>
          <w:rFonts w:hint="eastAsia" w:eastAsia="仿宋_GB2312"/>
          <w:sz w:val="32"/>
          <w:szCs w:val="32"/>
          <w:lang w:val="en-US" w:eastAsia="zh-CN"/>
        </w:rPr>
        <w:t>5.82</w:t>
      </w:r>
      <w:r>
        <w:rPr>
          <w:rFonts w:eastAsia="仿宋_GB2312"/>
          <w:sz w:val="32"/>
          <w:szCs w:val="32"/>
        </w:rPr>
        <w:t>%，主要原因是</w:t>
      </w:r>
      <w:r>
        <w:rPr>
          <w:rFonts w:hint="eastAsia" w:eastAsia="仿宋_GB2312"/>
          <w:sz w:val="32"/>
          <w:szCs w:val="32"/>
          <w:lang w:val="en-US" w:eastAsia="zh-CN"/>
        </w:rPr>
        <w:t>2017年残疾人参合资金和康复资金没有支出，无障碍改造基金没有全部支出</w:t>
      </w:r>
      <w:r>
        <w:rPr>
          <w:rFonts w:eastAsia="仿宋_GB2312"/>
          <w:sz w:val="32"/>
          <w:szCs w:val="32"/>
        </w:rPr>
        <w:t>。</w:t>
      </w:r>
    </w:p>
    <w:p>
      <w:pPr>
        <w:adjustRightInd w:val="0"/>
        <w:snapToGrid w:val="0"/>
        <w:spacing w:line="584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其中，一般公共预算财政拨款年初结转和结余</w:t>
      </w:r>
      <w:r>
        <w:rPr>
          <w:rFonts w:hint="eastAsia" w:eastAsia="仿宋_GB2312"/>
          <w:sz w:val="32"/>
          <w:szCs w:val="32"/>
          <w:lang w:val="en-US" w:eastAsia="zh-CN"/>
        </w:rPr>
        <w:t>0.35</w:t>
      </w:r>
      <w:r>
        <w:rPr>
          <w:rFonts w:eastAsia="仿宋_GB2312"/>
          <w:sz w:val="32"/>
          <w:szCs w:val="32"/>
        </w:rPr>
        <w:t>万元、本年收入</w:t>
      </w:r>
      <w:r>
        <w:rPr>
          <w:rFonts w:hint="eastAsia" w:eastAsia="仿宋_GB2312"/>
          <w:sz w:val="32"/>
          <w:szCs w:val="32"/>
          <w:lang w:val="en-US" w:eastAsia="zh-CN"/>
        </w:rPr>
        <w:t>386.90</w:t>
      </w:r>
      <w:r>
        <w:rPr>
          <w:rFonts w:eastAsia="仿宋_GB2312"/>
          <w:sz w:val="32"/>
          <w:szCs w:val="32"/>
        </w:rPr>
        <w:t>万元；本年支出</w:t>
      </w:r>
      <w:r>
        <w:rPr>
          <w:rFonts w:hint="eastAsia" w:eastAsia="仿宋_GB2312"/>
          <w:sz w:val="32"/>
          <w:szCs w:val="32"/>
          <w:lang w:val="en-US" w:eastAsia="zh-CN"/>
        </w:rPr>
        <w:t>262.43</w:t>
      </w:r>
      <w:r>
        <w:rPr>
          <w:rFonts w:eastAsia="仿宋_GB2312"/>
          <w:sz w:val="32"/>
          <w:szCs w:val="32"/>
        </w:rPr>
        <w:t>万元、年末结转和结余</w:t>
      </w:r>
      <w:r>
        <w:rPr>
          <w:rFonts w:hint="eastAsia" w:eastAsia="仿宋_GB2312"/>
          <w:sz w:val="32"/>
          <w:szCs w:val="32"/>
          <w:lang w:val="en-US" w:eastAsia="zh-CN"/>
        </w:rPr>
        <w:t>124.82</w:t>
      </w:r>
      <w:r>
        <w:rPr>
          <w:rFonts w:eastAsia="仿宋_GB2312"/>
          <w:sz w:val="32"/>
          <w:szCs w:val="32"/>
        </w:rPr>
        <w:t>万元。与2016年度决算相比，一般公共预算财政拨款本年收入增加</w:t>
      </w:r>
      <w:r>
        <w:rPr>
          <w:rFonts w:hint="eastAsia" w:eastAsia="仿宋_GB2312"/>
          <w:sz w:val="32"/>
          <w:szCs w:val="32"/>
          <w:lang w:val="en-US" w:eastAsia="zh-CN"/>
        </w:rPr>
        <w:t>99.2</w:t>
      </w:r>
      <w:r>
        <w:rPr>
          <w:rFonts w:eastAsia="仿宋_GB2312"/>
          <w:sz w:val="32"/>
          <w:szCs w:val="32"/>
        </w:rPr>
        <w:t>万元，增长</w:t>
      </w:r>
      <w:r>
        <w:rPr>
          <w:rFonts w:hint="eastAsia" w:eastAsia="仿宋_GB2312"/>
          <w:sz w:val="32"/>
          <w:szCs w:val="32"/>
          <w:lang w:val="en-US" w:eastAsia="zh-CN"/>
        </w:rPr>
        <w:t>34.48</w:t>
      </w:r>
      <w:r>
        <w:rPr>
          <w:rFonts w:eastAsia="仿宋_GB2312"/>
          <w:sz w:val="32"/>
          <w:szCs w:val="32"/>
        </w:rPr>
        <w:t>%，主要原因是</w:t>
      </w:r>
      <w:r>
        <w:rPr>
          <w:rFonts w:hint="eastAsia" w:eastAsia="仿宋_GB2312"/>
          <w:sz w:val="32"/>
          <w:szCs w:val="32"/>
          <w:lang w:val="en-US" w:eastAsia="zh-CN"/>
        </w:rPr>
        <w:t>2016年度残疾人参合资金列支在2017年</w:t>
      </w:r>
      <w:r>
        <w:rPr>
          <w:rFonts w:eastAsia="仿宋_GB2312"/>
          <w:sz w:val="32"/>
          <w:szCs w:val="32"/>
        </w:rPr>
        <w:t>；本年支出减少</w:t>
      </w:r>
      <w:r>
        <w:rPr>
          <w:rFonts w:hint="eastAsia" w:eastAsia="仿宋_GB2312"/>
          <w:sz w:val="32"/>
          <w:szCs w:val="32"/>
          <w:lang w:val="en-US" w:eastAsia="zh-CN"/>
        </w:rPr>
        <w:t>26.07</w:t>
      </w:r>
      <w:r>
        <w:rPr>
          <w:rFonts w:eastAsia="仿宋_GB2312"/>
          <w:sz w:val="32"/>
          <w:szCs w:val="32"/>
        </w:rPr>
        <w:t>万元，降低</w:t>
      </w:r>
      <w:r>
        <w:rPr>
          <w:rFonts w:hint="eastAsia" w:eastAsia="仿宋_GB2312"/>
          <w:sz w:val="32"/>
          <w:szCs w:val="32"/>
          <w:lang w:val="en-US" w:eastAsia="zh-CN"/>
        </w:rPr>
        <w:t>9.04</w:t>
      </w:r>
      <w:r>
        <w:rPr>
          <w:rFonts w:eastAsia="仿宋_GB2312"/>
          <w:sz w:val="32"/>
          <w:szCs w:val="32"/>
        </w:rPr>
        <w:t>%，主要原因是</w:t>
      </w:r>
      <w:r>
        <w:rPr>
          <w:rFonts w:hint="eastAsia" w:eastAsia="仿宋_GB2312"/>
          <w:sz w:val="32"/>
          <w:szCs w:val="32"/>
          <w:lang w:val="en-US" w:eastAsia="zh-CN"/>
        </w:rPr>
        <w:t>2017年残疾人参合资金和康复资金没有支出</w:t>
      </w:r>
      <w:r>
        <w:rPr>
          <w:rFonts w:eastAsia="仿宋_GB2312"/>
          <w:sz w:val="32"/>
          <w:szCs w:val="32"/>
        </w:rPr>
        <w:t>。</w:t>
      </w:r>
    </w:p>
    <w:p>
      <w:pPr>
        <w:adjustRightInd w:val="0"/>
        <w:snapToGrid w:val="0"/>
        <w:spacing w:line="584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政府性基金预算财政拨款年初结转和结余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万元、本年收入</w:t>
      </w:r>
      <w:r>
        <w:rPr>
          <w:rFonts w:hint="eastAsia" w:eastAsia="仿宋_GB2312"/>
          <w:sz w:val="32"/>
          <w:szCs w:val="32"/>
          <w:lang w:val="en-US" w:eastAsia="zh-CN"/>
        </w:rPr>
        <w:t>17.5</w:t>
      </w:r>
      <w:r>
        <w:rPr>
          <w:rFonts w:eastAsia="仿宋_GB2312"/>
          <w:sz w:val="32"/>
          <w:szCs w:val="32"/>
        </w:rPr>
        <w:t>万元；本年支出</w:t>
      </w:r>
      <w:r>
        <w:rPr>
          <w:rFonts w:hint="eastAsia" w:eastAsia="仿宋_GB2312"/>
          <w:sz w:val="32"/>
          <w:szCs w:val="32"/>
          <w:lang w:val="en-US" w:eastAsia="zh-CN"/>
        </w:rPr>
        <w:t>9.27</w:t>
      </w:r>
      <w:r>
        <w:rPr>
          <w:rFonts w:eastAsia="仿宋_GB2312"/>
          <w:sz w:val="32"/>
          <w:szCs w:val="32"/>
        </w:rPr>
        <w:t>万元、年末结转和结余</w:t>
      </w:r>
      <w:r>
        <w:rPr>
          <w:rFonts w:hint="eastAsia" w:eastAsia="仿宋_GB2312"/>
          <w:sz w:val="32"/>
          <w:szCs w:val="32"/>
          <w:lang w:val="en-US" w:eastAsia="zh-CN"/>
        </w:rPr>
        <w:t>8.23</w:t>
      </w:r>
      <w:r>
        <w:rPr>
          <w:rFonts w:eastAsia="仿宋_GB2312"/>
          <w:sz w:val="32"/>
          <w:szCs w:val="32"/>
        </w:rPr>
        <w:t>万元。与2016年度决算相比，政府性基金预算财政拨款本年收入增加</w:t>
      </w:r>
      <w:r>
        <w:rPr>
          <w:rFonts w:hint="eastAsia" w:eastAsia="仿宋_GB2312"/>
          <w:sz w:val="32"/>
          <w:szCs w:val="32"/>
          <w:lang w:val="en-US" w:eastAsia="zh-CN"/>
        </w:rPr>
        <w:t>17.5</w:t>
      </w:r>
      <w:r>
        <w:rPr>
          <w:rFonts w:eastAsia="仿宋_GB2312"/>
          <w:sz w:val="32"/>
          <w:szCs w:val="32"/>
        </w:rPr>
        <w:t>万元，增长</w:t>
      </w:r>
      <w:r>
        <w:rPr>
          <w:rFonts w:hint="eastAsia" w:eastAsia="仿宋_GB2312"/>
          <w:sz w:val="32"/>
          <w:szCs w:val="32"/>
          <w:lang w:val="en-US" w:eastAsia="zh-CN"/>
        </w:rPr>
        <w:t>100</w:t>
      </w:r>
      <w:r>
        <w:rPr>
          <w:rFonts w:eastAsia="仿宋_GB2312"/>
          <w:sz w:val="32"/>
          <w:szCs w:val="32"/>
        </w:rPr>
        <w:t>%，主要原因是</w:t>
      </w:r>
      <w:r>
        <w:rPr>
          <w:rFonts w:hint="eastAsia" w:eastAsia="仿宋_GB2312"/>
          <w:sz w:val="32"/>
          <w:szCs w:val="32"/>
          <w:lang w:val="en-US" w:eastAsia="zh-CN"/>
        </w:rPr>
        <w:t>2016年没有政府性基金</w:t>
      </w:r>
      <w:r>
        <w:rPr>
          <w:rFonts w:eastAsia="仿宋_GB2312"/>
          <w:sz w:val="32"/>
          <w:szCs w:val="32"/>
        </w:rPr>
        <w:t>。</w:t>
      </w:r>
    </w:p>
    <w:p>
      <w:pPr>
        <w:spacing w:line="584" w:lineRule="exact"/>
        <w:ind w:firstLine="643" w:firstLineChars="200"/>
        <w:rPr>
          <w:rFonts w:eastAsia="仿宋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（二）财政拨款收支与年初预算数对比情况</w:t>
      </w:r>
    </w:p>
    <w:p>
      <w:pPr>
        <w:adjustRightInd w:val="0"/>
        <w:snapToGrid w:val="0"/>
        <w:spacing w:line="584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本部门2017年度财政拨款本年收入较2017年初预算增加</w:t>
      </w:r>
      <w:r>
        <w:rPr>
          <w:rFonts w:hint="eastAsia" w:eastAsia="仿宋_GB2312"/>
          <w:sz w:val="32"/>
          <w:szCs w:val="32"/>
          <w:lang w:val="en-US" w:eastAsia="zh-CN"/>
        </w:rPr>
        <w:t>74.13</w:t>
      </w:r>
      <w:r>
        <w:rPr>
          <w:rFonts w:eastAsia="仿宋_GB2312"/>
          <w:sz w:val="32"/>
          <w:szCs w:val="32"/>
        </w:rPr>
        <w:t>万元，增长</w:t>
      </w:r>
      <w:r>
        <w:rPr>
          <w:rFonts w:hint="eastAsia" w:eastAsia="仿宋_GB2312"/>
          <w:sz w:val="32"/>
          <w:szCs w:val="32"/>
          <w:lang w:val="en-US" w:eastAsia="zh-CN"/>
        </w:rPr>
        <w:t>22.45</w:t>
      </w:r>
      <w:r>
        <w:rPr>
          <w:rFonts w:eastAsia="仿宋_GB2312"/>
          <w:sz w:val="32"/>
          <w:szCs w:val="32"/>
        </w:rPr>
        <w:t>%，主要原因是</w:t>
      </w:r>
      <w:r>
        <w:rPr>
          <w:rFonts w:hint="eastAsia" w:eastAsia="仿宋_GB2312"/>
          <w:sz w:val="32"/>
          <w:szCs w:val="32"/>
          <w:lang w:val="en-US" w:eastAsia="zh-CN"/>
        </w:rPr>
        <w:t>项目增加和人员经费调整</w:t>
      </w:r>
      <w:r>
        <w:rPr>
          <w:rFonts w:eastAsia="仿宋_GB2312"/>
          <w:sz w:val="32"/>
          <w:szCs w:val="32"/>
        </w:rPr>
        <w:t>；本年支出减少</w:t>
      </w:r>
      <w:r>
        <w:rPr>
          <w:rFonts w:hint="eastAsia" w:eastAsia="仿宋_GB2312"/>
          <w:sz w:val="32"/>
          <w:szCs w:val="32"/>
          <w:lang w:val="en-US" w:eastAsia="zh-CN"/>
        </w:rPr>
        <w:t>58.57</w:t>
      </w:r>
      <w:r>
        <w:rPr>
          <w:rFonts w:eastAsia="仿宋_GB2312"/>
          <w:sz w:val="32"/>
          <w:szCs w:val="32"/>
        </w:rPr>
        <w:t>万元，降低</w:t>
      </w:r>
      <w:r>
        <w:rPr>
          <w:rFonts w:hint="eastAsia" w:eastAsia="仿宋_GB2312"/>
          <w:sz w:val="32"/>
          <w:szCs w:val="32"/>
          <w:lang w:val="en-US" w:eastAsia="zh-CN"/>
        </w:rPr>
        <w:t>17.73</w:t>
      </w:r>
      <w:r>
        <w:rPr>
          <w:rFonts w:eastAsia="仿宋_GB2312"/>
          <w:sz w:val="32"/>
          <w:szCs w:val="32"/>
        </w:rPr>
        <w:t>%，主要原因是</w:t>
      </w:r>
      <w:r>
        <w:rPr>
          <w:rFonts w:hint="eastAsia" w:eastAsia="仿宋_GB2312"/>
          <w:sz w:val="32"/>
          <w:szCs w:val="32"/>
          <w:lang w:val="en-US" w:eastAsia="zh-CN"/>
        </w:rPr>
        <w:t>项目没有完成，结转下年</w:t>
      </w:r>
      <w:r>
        <w:rPr>
          <w:rFonts w:eastAsia="仿宋_GB2312"/>
          <w:sz w:val="32"/>
          <w:szCs w:val="32"/>
        </w:rPr>
        <w:t>。</w:t>
      </w:r>
    </w:p>
    <w:p>
      <w:pPr>
        <w:adjustRightInd w:val="0"/>
        <w:snapToGrid w:val="0"/>
        <w:spacing w:line="584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其中，本部门2017年度一般公共预算财政拨款本年收入较2017年初预算增加</w:t>
      </w:r>
      <w:r>
        <w:rPr>
          <w:rFonts w:hint="eastAsia" w:eastAsia="仿宋_GB2312"/>
          <w:sz w:val="32"/>
          <w:szCs w:val="32"/>
          <w:lang w:val="en-US" w:eastAsia="zh-CN"/>
        </w:rPr>
        <w:t>73.46</w:t>
      </w:r>
      <w:r>
        <w:rPr>
          <w:rFonts w:eastAsia="仿宋_GB2312"/>
          <w:sz w:val="32"/>
          <w:szCs w:val="32"/>
        </w:rPr>
        <w:t>万元，增长</w:t>
      </w:r>
      <w:r>
        <w:rPr>
          <w:rFonts w:hint="eastAsia" w:eastAsia="仿宋_GB2312"/>
          <w:sz w:val="32"/>
          <w:szCs w:val="32"/>
          <w:lang w:val="en-US" w:eastAsia="zh-CN"/>
        </w:rPr>
        <w:t>23.44</w:t>
      </w:r>
      <w:r>
        <w:rPr>
          <w:rFonts w:eastAsia="仿宋_GB2312"/>
          <w:sz w:val="32"/>
          <w:szCs w:val="32"/>
        </w:rPr>
        <w:t>%，主要原因是</w:t>
      </w:r>
      <w:r>
        <w:rPr>
          <w:rFonts w:hint="eastAsia" w:eastAsia="仿宋_GB2312"/>
          <w:sz w:val="32"/>
          <w:szCs w:val="32"/>
          <w:lang w:val="en-US" w:eastAsia="zh-CN"/>
        </w:rPr>
        <w:t>项目增加和人员经费调整</w:t>
      </w:r>
      <w:r>
        <w:rPr>
          <w:rFonts w:eastAsia="仿宋_GB2312"/>
          <w:sz w:val="32"/>
          <w:szCs w:val="32"/>
        </w:rPr>
        <w:t>；本年支出减少</w:t>
      </w:r>
      <w:r>
        <w:rPr>
          <w:rFonts w:hint="eastAsia" w:eastAsia="仿宋_GB2312"/>
          <w:sz w:val="32"/>
          <w:szCs w:val="32"/>
          <w:lang w:val="en-US" w:eastAsia="zh-CN"/>
        </w:rPr>
        <w:t>51.01</w:t>
      </w:r>
      <w:r>
        <w:rPr>
          <w:rFonts w:eastAsia="仿宋_GB2312"/>
          <w:sz w:val="32"/>
          <w:szCs w:val="32"/>
        </w:rPr>
        <w:t>万元，降低</w:t>
      </w:r>
      <w:r>
        <w:rPr>
          <w:rFonts w:hint="eastAsia" w:eastAsia="仿宋_GB2312"/>
          <w:sz w:val="32"/>
          <w:szCs w:val="32"/>
          <w:lang w:val="en-US" w:eastAsia="zh-CN"/>
        </w:rPr>
        <w:t>16.27</w:t>
      </w:r>
      <w:r>
        <w:rPr>
          <w:rFonts w:eastAsia="仿宋_GB2312"/>
          <w:sz w:val="32"/>
          <w:szCs w:val="32"/>
        </w:rPr>
        <w:t>%，主要原因是</w:t>
      </w:r>
      <w:r>
        <w:rPr>
          <w:rFonts w:hint="eastAsia" w:eastAsia="仿宋_GB2312"/>
          <w:sz w:val="32"/>
          <w:szCs w:val="32"/>
          <w:lang w:val="en-US" w:eastAsia="zh-CN"/>
        </w:rPr>
        <w:t>项目没有完成，结转下年</w:t>
      </w:r>
      <w:r>
        <w:rPr>
          <w:rFonts w:eastAsia="仿宋_GB2312"/>
          <w:sz w:val="32"/>
          <w:szCs w:val="32"/>
        </w:rPr>
        <w:t>。</w:t>
      </w:r>
    </w:p>
    <w:p>
      <w:pPr>
        <w:adjustRightInd w:val="0"/>
        <w:snapToGrid w:val="0"/>
        <w:spacing w:line="584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本部门2017年度政府性基金预算财政拨款本年收入较2017年初预算增加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万元，增长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%；本年支出减少</w:t>
      </w:r>
      <w:r>
        <w:rPr>
          <w:rFonts w:hint="eastAsia" w:eastAsia="仿宋_GB2312"/>
          <w:sz w:val="32"/>
          <w:szCs w:val="32"/>
          <w:lang w:val="en-US" w:eastAsia="zh-CN"/>
        </w:rPr>
        <w:t>8.23</w:t>
      </w:r>
      <w:r>
        <w:rPr>
          <w:rFonts w:eastAsia="仿宋_GB2312"/>
          <w:sz w:val="32"/>
          <w:szCs w:val="32"/>
        </w:rPr>
        <w:t>万元，降低</w:t>
      </w:r>
      <w:r>
        <w:rPr>
          <w:rFonts w:hint="eastAsia" w:eastAsia="仿宋_GB2312"/>
          <w:sz w:val="32"/>
          <w:szCs w:val="32"/>
          <w:lang w:val="en-US" w:eastAsia="zh-CN"/>
        </w:rPr>
        <w:t>47.03</w:t>
      </w:r>
      <w:r>
        <w:rPr>
          <w:rFonts w:eastAsia="仿宋_GB2312"/>
          <w:sz w:val="32"/>
          <w:szCs w:val="32"/>
        </w:rPr>
        <w:t>%，主要原因是</w:t>
      </w:r>
      <w:r>
        <w:rPr>
          <w:rFonts w:hint="eastAsia" w:eastAsia="仿宋_GB2312"/>
          <w:sz w:val="32"/>
          <w:szCs w:val="32"/>
          <w:lang w:val="en-US" w:eastAsia="zh-CN"/>
        </w:rPr>
        <w:t>项目没有完成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五、“三公”经费支出决算情况说明</w:t>
      </w:r>
    </w:p>
    <w:p>
      <w:pPr>
        <w:adjustRightInd w:val="0"/>
        <w:snapToGrid w:val="0"/>
        <w:spacing w:line="584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本部门2017年度一般公共预算财政拨款“三公”经费支出共计</w:t>
      </w:r>
      <w:r>
        <w:rPr>
          <w:rFonts w:hint="eastAsia" w:eastAsia="仿宋_GB2312"/>
          <w:sz w:val="32"/>
          <w:szCs w:val="32"/>
          <w:lang w:val="en-US" w:eastAsia="zh-CN"/>
        </w:rPr>
        <w:t>2.22</w:t>
      </w:r>
      <w:r>
        <w:rPr>
          <w:rFonts w:eastAsia="仿宋_GB2312"/>
          <w:sz w:val="32"/>
          <w:szCs w:val="32"/>
        </w:rPr>
        <w:t>万元，较年初预算减少</w:t>
      </w:r>
      <w:r>
        <w:rPr>
          <w:rFonts w:hint="eastAsia" w:eastAsia="仿宋_GB2312"/>
          <w:sz w:val="32"/>
          <w:szCs w:val="32"/>
          <w:lang w:val="en-US" w:eastAsia="zh-CN"/>
        </w:rPr>
        <w:t>1.28</w:t>
      </w:r>
      <w:r>
        <w:rPr>
          <w:rFonts w:eastAsia="仿宋_GB2312"/>
          <w:sz w:val="32"/>
          <w:szCs w:val="32"/>
        </w:rPr>
        <w:t>万元，降低</w:t>
      </w:r>
      <w:r>
        <w:rPr>
          <w:rFonts w:hint="eastAsia" w:eastAsia="仿宋_GB2312"/>
          <w:sz w:val="32"/>
          <w:szCs w:val="32"/>
          <w:lang w:val="en-US" w:eastAsia="zh-CN"/>
        </w:rPr>
        <w:t>36.57</w:t>
      </w:r>
      <w:r>
        <w:rPr>
          <w:rFonts w:eastAsia="仿宋_GB2312"/>
          <w:sz w:val="32"/>
          <w:szCs w:val="32"/>
        </w:rPr>
        <w:t>%，主要原因是</w:t>
      </w:r>
      <w:r>
        <w:rPr>
          <w:rFonts w:hint="eastAsia" w:eastAsia="仿宋_GB2312"/>
          <w:sz w:val="32"/>
          <w:szCs w:val="32"/>
          <w:lang w:val="en-US" w:eastAsia="zh-CN"/>
        </w:rPr>
        <w:t>更换新的公务用车和执行</w:t>
      </w:r>
      <w:r>
        <w:rPr>
          <w:rFonts w:hint="eastAsia" w:ascii="仿宋_GB2312" w:hAnsi="宋体" w:eastAsia="仿宋_GB2312"/>
          <w:sz w:val="32"/>
          <w:lang w:val="en-US" w:eastAsia="zh-CN"/>
        </w:rPr>
        <w:t>厉行节约</w:t>
      </w:r>
      <w:r>
        <w:rPr>
          <w:rFonts w:eastAsia="仿宋_GB2312"/>
          <w:sz w:val="32"/>
          <w:szCs w:val="32"/>
        </w:rPr>
        <w:t>；较2016年度决算减少</w:t>
      </w:r>
      <w:r>
        <w:rPr>
          <w:rFonts w:hint="eastAsia" w:eastAsia="仿宋_GB2312"/>
          <w:sz w:val="32"/>
          <w:szCs w:val="32"/>
          <w:lang w:val="en-US" w:eastAsia="zh-CN"/>
        </w:rPr>
        <w:t>1.48</w:t>
      </w:r>
      <w:r>
        <w:rPr>
          <w:rFonts w:eastAsia="仿宋_GB2312"/>
          <w:sz w:val="32"/>
          <w:szCs w:val="32"/>
        </w:rPr>
        <w:t>万元，降低</w:t>
      </w:r>
      <w:r>
        <w:rPr>
          <w:rFonts w:hint="eastAsia" w:eastAsia="仿宋_GB2312"/>
          <w:sz w:val="32"/>
          <w:szCs w:val="32"/>
          <w:lang w:val="en-US" w:eastAsia="zh-CN"/>
        </w:rPr>
        <w:t>40</w:t>
      </w:r>
      <w:r>
        <w:rPr>
          <w:rFonts w:eastAsia="仿宋_GB2312"/>
          <w:sz w:val="32"/>
          <w:szCs w:val="32"/>
        </w:rPr>
        <w:t>%，主要原因是</w:t>
      </w:r>
      <w:r>
        <w:rPr>
          <w:rFonts w:hint="eastAsia" w:eastAsia="仿宋_GB2312"/>
          <w:sz w:val="32"/>
          <w:szCs w:val="32"/>
          <w:lang w:val="en-US" w:eastAsia="zh-CN"/>
        </w:rPr>
        <w:t>更换新的公务用车和执行</w:t>
      </w:r>
      <w:r>
        <w:rPr>
          <w:rFonts w:hint="eastAsia" w:ascii="仿宋_GB2312" w:hAnsi="宋体" w:eastAsia="仿宋_GB2312"/>
          <w:sz w:val="32"/>
          <w:lang w:val="en-US" w:eastAsia="zh-CN"/>
        </w:rPr>
        <w:t>厉行节约和没有公务招待支出</w:t>
      </w:r>
      <w:r>
        <w:rPr>
          <w:rFonts w:eastAsia="仿宋_GB2312"/>
          <w:sz w:val="32"/>
          <w:szCs w:val="32"/>
        </w:rPr>
        <w:t>。具体情况如下：</w:t>
      </w:r>
    </w:p>
    <w:p>
      <w:pPr>
        <w:adjustRightInd w:val="0"/>
        <w:snapToGrid w:val="0"/>
        <w:spacing w:line="584" w:lineRule="exact"/>
        <w:ind w:firstLine="643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eastAsia="楷体_GB2312"/>
          <w:b/>
          <w:bCs/>
          <w:sz w:val="32"/>
          <w:szCs w:val="32"/>
        </w:rPr>
        <w:t>（一）因公出国（境）费支出</w:t>
      </w:r>
      <w:r>
        <w:rPr>
          <w:rFonts w:hint="eastAsia" w:eastAsia="楷体_GB2312"/>
          <w:b/>
          <w:bCs/>
          <w:sz w:val="32"/>
          <w:szCs w:val="32"/>
          <w:lang w:val="en-US" w:eastAsia="zh-CN"/>
        </w:rPr>
        <w:t>0</w:t>
      </w:r>
      <w:r>
        <w:rPr>
          <w:rFonts w:eastAsia="楷体_GB2312"/>
          <w:b/>
          <w:bCs/>
          <w:sz w:val="32"/>
          <w:szCs w:val="32"/>
        </w:rPr>
        <w:t>万元。</w:t>
      </w:r>
      <w:r>
        <w:rPr>
          <w:rFonts w:eastAsia="仿宋_GB2312"/>
          <w:sz w:val="32"/>
          <w:szCs w:val="32"/>
        </w:rPr>
        <w:t>本部门2017年度</w:t>
      </w:r>
      <w:r>
        <w:rPr>
          <w:rFonts w:hint="eastAsia" w:eastAsia="仿宋_GB2312"/>
          <w:sz w:val="32"/>
          <w:szCs w:val="32"/>
          <w:lang w:val="en-US" w:eastAsia="zh-CN"/>
        </w:rPr>
        <w:t>没有</w:t>
      </w:r>
      <w:r>
        <w:rPr>
          <w:rFonts w:eastAsia="仿宋_GB2312"/>
          <w:sz w:val="32"/>
          <w:szCs w:val="32"/>
        </w:rPr>
        <w:t>因公出国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所以没有费用支出。</w:t>
      </w:r>
    </w:p>
    <w:p>
      <w:pPr>
        <w:adjustRightInd w:val="0"/>
        <w:snapToGrid w:val="0"/>
        <w:spacing w:line="584" w:lineRule="exact"/>
        <w:ind w:firstLine="643" w:firstLineChars="200"/>
        <w:rPr>
          <w:rFonts w:eastAsia="仿宋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（二）公务用车购置及运行维护费支出</w:t>
      </w:r>
      <w:r>
        <w:rPr>
          <w:rFonts w:hint="eastAsia" w:eastAsia="楷体_GB2312"/>
          <w:b/>
          <w:bCs/>
          <w:sz w:val="32"/>
          <w:szCs w:val="32"/>
          <w:lang w:val="en-US" w:eastAsia="zh-CN"/>
        </w:rPr>
        <w:t>2.22</w:t>
      </w:r>
      <w:r>
        <w:rPr>
          <w:rFonts w:eastAsia="楷体_GB2312"/>
          <w:b/>
          <w:bCs/>
          <w:sz w:val="32"/>
          <w:szCs w:val="32"/>
        </w:rPr>
        <w:t>万元。</w:t>
      </w:r>
      <w:r>
        <w:rPr>
          <w:rFonts w:eastAsia="仿宋_GB2312"/>
          <w:b/>
          <w:bCs/>
          <w:sz w:val="32"/>
          <w:szCs w:val="32"/>
        </w:rPr>
        <w:t>其中：</w:t>
      </w:r>
    </w:p>
    <w:p>
      <w:pPr>
        <w:adjustRightInd w:val="0"/>
        <w:snapToGrid w:val="0"/>
        <w:spacing w:line="584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公务用车购置费支出</w:t>
      </w:r>
      <w:r>
        <w:rPr>
          <w:rFonts w:hint="eastAsia" w:eastAsia="仿宋_GB2312"/>
          <w:b/>
          <w:sz w:val="32"/>
          <w:szCs w:val="32"/>
          <w:lang w:val="en-US" w:eastAsia="zh-CN"/>
        </w:rPr>
        <w:t>0</w:t>
      </w:r>
      <w:r>
        <w:rPr>
          <w:rFonts w:eastAsia="仿宋_GB2312"/>
          <w:b/>
          <w:sz w:val="32"/>
          <w:szCs w:val="32"/>
        </w:rPr>
        <w:t>万元。</w:t>
      </w:r>
      <w:r>
        <w:rPr>
          <w:rFonts w:eastAsia="仿宋_GB2312"/>
          <w:sz w:val="32"/>
          <w:szCs w:val="32"/>
        </w:rPr>
        <w:t>本部门2017年度公务用车购置</w:t>
      </w:r>
      <w:r>
        <w:rPr>
          <w:rFonts w:hint="eastAsia" w:eastAsia="仿宋_GB2312"/>
          <w:sz w:val="32"/>
          <w:szCs w:val="32"/>
        </w:rPr>
        <w:t>数</w:t>
      </w:r>
      <w:r>
        <w:rPr>
          <w:rFonts w:eastAsia="仿宋_GB2312"/>
          <w:sz w:val="32"/>
          <w:szCs w:val="32"/>
        </w:rPr>
        <w:t>量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辆。</w:t>
      </w:r>
    </w:p>
    <w:p>
      <w:pPr>
        <w:adjustRightInd w:val="0"/>
        <w:snapToGrid w:val="0"/>
        <w:spacing w:line="584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公务用车运行维护费支出</w:t>
      </w:r>
      <w:r>
        <w:rPr>
          <w:rFonts w:hint="eastAsia" w:eastAsia="仿宋_GB2312"/>
          <w:b/>
          <w:sz w:val="32"/>
          <w:szCs w:val="32"/>
          <w:lang w:val="en-US" w:eastAsia="zh-CN"/>
        </w:rPr>
        <w:t>2.22</w:t>
      </w:r>
      <w:r>
        <w:rPr>
          <w:rFonts w:eastAsia="仿宋_GB2312"/>
          <w:b/>
          <w:sz w:val="32"/>
          <w:szCs w:val="32"/>
        </w:rPr>
        <w:t>万元。</w:t>
      </w:r>
      <w:r>
        <w:rPr>
          <w:rFonts w:eastAsia="仿宋_GB2312"/>
          <w:sz w:val="32"/>
          <w:szCs w:val="32"/>
        </w:rPr>
        <w:t>本部门2017年末单位公务用车保有量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辆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其中待报废一辆）</w:t>
      </w:r>
      <w:r>
        <w:rPr>
          <w:rFonts w:eastAsia="仿宋_GB2312"/>
          <w:sz w:val="32"/>
          <w:szCs w:val="32"/>
        </w:rPr>
        <w:t>。公车运行维护费支出较年初预算减少</w:t>
      </w:r>
      <w:r>
        <w:rPr>
          <w:rFonts w:hint="eastAsia" w:eastAsia="仿宋_GB2312"/>
          <w:sz w:val="32"/>
          <w:szCs w:val="32"/>
          <w:lang w:val="en-US" w:eastAsia="zh-CN"/>
        </w:rPr>
        <w:t>1.28</w:t>
      </w:r>
      <w:r>
        <w:rPr>
          <w:rFonts w:eastAsia="仿宋_GB2312"/>
          <w:sz w:val="32"/>
          <w:szCs w:val="32"/>
        </w:rPr>
        <w:t>万元，降低</w:t>
      </w:r>
      <w:r>
        <w:rPr>
          <w:rFonts w:hint="eastAsia" w:eastAsia="仿宋_GB2312"/>
          <w:sz w:val="32"/>
          <w:szCs w:val="32"/>
          <w:lang w:val="en-US" w:eastAsia="zh-CN"/>
        </w:rPr>
        <w:t>36.57</w:t>
      </w:r>
      <w:r>
        <w:rPr>
          <w:rFonts w:eastAsia="仿宋_GB2312"/>
          <w:sz w:val="32"/>
          <w:szCs w:val="32"/>
        </w:rPr>
        <w:t>%,主要原因是</w:t>
      </w:r>
      <w:r>
        <w:rPr>
          <w:rFonts w:hint="eastAsia" w:eastAsia="仿宋_GB2312"/>
          <w:sz w:val="32"/>
          <w:szCs w:val="32"/>
          <w:lang w:val="en-US" w:eastAsia="zh-CN"/>
        </w:rPr>
        <w:t>更换新的公务用车减少维修和执行</w:t>
      </w:r>
      <w:r>
        <w:rPr>
          <w:rFonts w:hint="eastAsia" w:ascii="仿宋_GB2312" w:hAnsi="宋体" w:eastAsia="仿宋_GB2312"/>
          <w:sz w:val="32"/>
          <w:lang w:val="en-US" w:eastAsia="zh-CN"/>
        </w:rPr>
        <w:t>厉行节约</w:t>
      </w:r>
      <w:r>
        <w:rPr>
          <w:rFonts w:eastAsia="仿宋_GB2312"/>
          <w:sz w:val="32"/>
          <w:szCs w:val="32"/>
        </w:rPr>
        <w:t>；较2016年度决算减少</w:t>
      </w:r>
      <w:r>
        <w:rPr>
          <w:rFonts w:hint="eastAsia" w:eastAsia="仿宋_GB2312"/>
          <w:sz w:val="32"/>
          <w:szCs w:val="32"/>
          <w:lang w:val="en-US" w:eastAsia="zh-CN"/>
        </w:rPr>
        <w:t>1.48</w:t>
      </w:r>
      <w:r>
        <w:rPr>
          <w:rFonts w:eastAsia="仿宋_GB2312"/>
          <w:sz w:val="32"/>
          <w:szCs w:val="32"/>
        </w:rPr>
        <w:t>万元，降低</w:t>
      </w:r>
      <w:r>
        <w:rPr>
          <w:rFonts w:hint="eastAsia" w:eastAsia="仿宋_GB2312"/>
          <w:sz w:val="32"/>
          <w:szCs w:val="32"/>
          <w:lang w:val="en-US" w:eastAsia="zh-CN"/>
        </w:rPr>
        <w:t>40</w:t>
      </w:r>
      <w:r>
        <w:rPr>
          <w:rFonts w:eastAsia="仿宋_GB2312"/>
          <w:sz w:val="32"/>
          <w:szCs w:val="32"/>
        </w:rPr>
        <w:t>%，主要原因是</w:t>
      </w:r>
      <w:r>
        <w:rPr>
          <w:rFonts w:hint="eastAsia" w:eastAsia="仿宋_GB2312"/>
          <w:sz w:val="32"/>
          <w:szCs w:val="32"/>
          <w:lang w:val="en-US" w:eastAsia="zh-CN"/>
        </w:rPr>
        <w:t>更换新的公务用车减少维修和执行</w:t>
      </w:r>
      <w:r>
        <w:rPr>
          <w:rFonts w:hint="eastAsia" w:ascii="仿宋_GB2312" w:hAnsi="宋体" w:eastAsia="仿宋_GB2312"/>
          <w:sz w:val="32"/>
          <w:lang w:val="en-US" w:eastAsia="zh-CN"/>
        </w:rPr>
        <w:t>厉行节约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eastAsia="楷体_GB2312"/>
          <w:b/>
          <w:bCs/>
          <w:sz w:val="32"/>
          <w:szCs w:val="32"/>
        </w:rPr>
        <w:t>（三）公务接待费支出</w:t>
      </w:r>
      <w:r>
        <w:rPr>
          <w:rFonts w:hint="eastAsia" w:eastAsia="楷体_GB2312"/>
          <w:b/>
          <w:bCs/>
          <w:sz w:val="32"/>
          <w:szCs w:val="32"/>
          <w:lang w:val="en-US" w:eastAsia="zh-CN"/>
        </w:rPr>
        <w:t>0</w:t>
      </w:r>
      <w:r>
        <w:rPr>
          <w:rFonts w:eastAsia="楷体_GB2312"/>
          <w:b/>
          <w:bCs/>
          <w:sz w:val="32"/>
          <w:szCs w:val="32"/>
        </w:rPr>
        <w:t>万元。</w:t>
      </w:r>
      <w:r>
        <w:rPr>
          <w:rFonts w:eastAsia="仿宋_GB2312"/>
          <w:sz w:val="32"/>
          <w:szCs w:val="32"/>
        </w:rPr>
        <w:t>本部门2017年度</w:t>
      </w:r>
      <w:r>
        <w:rPr>
          <w:rFonts w:hint="eastAsia" w:eastAsia="仿宋_GB2312"/>
          <w:sz w:val="32"/>
          <w:szCs w:val="32"/>
          <w:lang w:val="en-US" w:eastAsia="zh-CN"/>
        </w:rPr>
        <w:t>没有</w:t>
      </w:r>
      <w:r>
        <w:rPr>
          <w:rFonts w:eastAsia="仿宋_GB2312"/>
          <w:sz w:val="32"/>
          <w:szCs w:val="32"/>
        </w:rPr>
        <w:t>公务接待</w:t>
      </w:r>
      <w:r>
        <w:rPr>
          <w:rFonts w:hint="eastAsia" w:eastAsia="仿宋_GB2312"/>
          <w:sz w:val="32"/>
          <w:szCs w:val="32"/>
          <w:lang w:val="en-US" w:eastAsia="zh-CN"/>
        </w:rPr>
        <w:t>费支出。</w:t>
      </w:r>
      <w:r>
        <w:rPr>
          <w:rFonts w:eastAsia="仿宋_GB2312"/>
          <w:sz w:val="32"/>
          <w:szCs w:val="32"/>
        </w:rPr>
        <w:t>较2016年度决算减少</w:t>
      </w:r>
      <w:r>
        <w:rPr>
          <w:rFonts w:hint="eastAsia" w:eastAsia="仿宋_GB2312"/>
          <w:sz w:val="32"/>
          <w:szCs w:val="32"/>
          <w:lang w:val="en-US" w:eastAsia="zh-CN"/>
        </w:rPr>
        <w:t>0.23</w:t>
      </w:r>
      <w:r>
        <w:rPr>
          <w:rFonts w:eastAsia="仿宋_GB2312"/>
          <w:sz w:val="32"/>
          <w:szCs w:val="32"/>
        </w:rPr>
        <w:t>万元，降低</w:t>
      </w:r>
      <w:r>
        <w:rPr>
          <w:rFonts w:hint="eastAsia" w:eastAsia="仿宋_GB2312"/>
          <w:sz w:val="32"/>
          <w:szCs w:val="32"/>
          <w:lang w:val="en-US" w:eastAsia="zh-CN"/>
        </w:rPr>
        <w:t>100</w:t>
      </w:r>
      <w:r>
        <w:rPr>
          <w:rFonts w:eastAsia="仿宋_GB2312"/>
          <w:sz w:val="32"/>
          <w:szCs w:val="32"/>
        </w:rPr>
        <w:t>%,主要原因是</w:t>
      </w:r>
      <w:r>
        <w:rPr>
          <w:rFonts w:hint="eastAsia" w:eastAsia="仿宋_GB2312"/>
          <w:sz w:val="32"/>
          <w:szCs w:val="32"/>
          <w:lang w:val="en-US" w:eastAsia="zh-CN"/>
        </w:rPr>
        <w:t>没有接待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六、预算绩效管理工作开展情况说明</w:t>
      </w:r>
    </w:p>
    <w:p>
      <w:pPr>
        <w:numPr>
          <w:ilvl w:val="0"/>
          <w:numId w:val="2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rPr>
          <w:rFonts w:hint="eastAsia" w:ascii="仿宋" w:eastAsia="仿宋"/>
          <w:sz w:val="32"/>
          <w:szCs w:val="32"/>
          <w:lang w:eastAsia="zh-CN"/>
        </w:rPr>
      </w:pPr>
      <w:r>
        <w:rPr>
          <w:rFonts w:hint="eastAsia" w:eastAsia="楷体_GB2312"/>
          <w:b/>
          <w:bCs/>
          <w:sz w:val="32"/>
          <w:szCs w:val="32"/>
          <w:lang w:eastAsia="zh-CN"/>
        </w:rPr>
        <w:t>预算绩效管理工作开展情况。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ind w:firstLine="640" w:firstLineChars="200"/>
        <w:rPr>
          <w:rFonts w:hint="eastAsia" w:ascii="仿宋" w:eastAsia="仿宋"/>
          <w:sz w:val="32"/>
          <w:szCs w:val="32"/>
          <w:lang w:eastAsia="zh-CN"/>
        </w:rPr>
      </w:pPr>
      <w:r>
        <w:rPr>
          <w:rFonts w:hint="eastAsia" w:ascii="仿宋" w:eastAsia="仿宋"/>
          <w:sz w:val="32"/>
          <w:szCs w:val="32"/>
          <w:lang w:eastAsia="zh-CN"/>
        </w:rPr>
        <w:t>根据县财政预算管理要求，本单位以“部门职责</w:t>
      </w:r>
      <w:r>
        <w:rPr>
          <w:rFonts w:hint="eastAsia" w:ascii="仿宋" w:eastAsia="仿宋"/>
          <w:sz w:val="32"/>
          <w:szCs w:val="32"/>
          <w:lang w:val="en-US" w:eastAsia="zh-CN"/>
        </w:rPr>
        <w:t>-工作活动</w:t>
      </w:r>
      <w:r>
        <w:rPr>
          <w:rFonts w:hint="eastAsia" w:ascii="仿宋" w:eastAsia="仿宋"/>
          <w:sz w:val="32"/>
          <w:szCs w:val="32"/>
          <w:lang w:eastAsia="zh-CN"/>
        </w:rPr>
        <w:t>”为依据，确定部门预算项目和预算额度，清晰描述预算项目开支范围和内容，确定预算项目的绩效目标、绩效指标和评价标准，</w:t>
      </w:r>
      <w:r>
        <w:rPr>
          <w:rFonts w:hint="eastAsia" w:ascii="仿宋" w:eastAsia="仿宋"/>
          <w:sz w:val="32"/>
          <w:szCs w:val="32"/>
          <w:lang w:val="en-US" w:eastAsia="zh-CN"/>
        </w:rPr>
        <w:t>绩效评价结果为优秀/良好/一般，</w:t>
      </w:r>
      <w:r>
        <w:rPr>
          <w:rFonts w:hint="eastAsia" w:ascii="仿宋" w:eastAsia="仿宋"/>
          <w:sz w:val="32"/>
          <w:szCs w:val="32"/>
          <w:lang w:eastAsia="zh-CN"/>
        </w:rPr>
        <w:t>为预算绩效控制、绩效分析、绩效评价打下好的基础。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ind w:left="641"/>
        <w:rPr>
          <w:rFonts w:hint="eastAsia" w:eastAsia="楷体_GB2312"/>
          <w:b/>
          <w:bCs/>
          <w:sz w:val="32"/>
          <w:szCs w:val="32"/>
          <w:lang w:val="en-US" w:eastAsia="zh-CN"/>
        </w:rPr>
      </w:pPr>
      <w:r>
        <w:rPr>
          <w:rFonts w:hint="eastAsia" w:ascii="仿宋" w:eastAsia="仿宋"/>
          <w:bCs/>
          <w:sz w:val="32"/>
          <w:szCs w:val="32"/>
          <w:lang w:val="en-US" w:eastAsia="zh-CN"/>
        </w:rPr>
        <w:t>2.</w:t>
      </w:r>
      <w:r>
        <w:rPr>
          <w:rFonts w:hint="eastAsia" w:eastAsia="楷体_GB2312"/>
          <w:b/>
          <w:bCs/>
          <w:sz w:val="32"/>
          <w:szCs w:val="32"/>
          <w:lang w:val="en-US" w:eastAsia="zh-CN"/>
        </w:rPr>
        <w:t>预算项目绩效评价开展情况。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ind w:left="641"/>
        <w:rPr>
          <w:rFonts w:hint="eastAsia" w:ascii="仿宋" w:eastAsia="仿宋"/>
          <w:bCs/>
          <w:sz w:val="32"/>
          <w:szCs w:val="32"/>
          <w:lang w:eastAsia="zh-CN"/>
        </w:rPr>
      </w:pPr>
      <w:r>
        <w:rPr>
          <w:rFonts w:hint="eastAsia" w:ascii="仿宋" w:eastAsia="仿宋"/>
          <w:bCs/>
          <w:sz w:val="32"/>
          <w:szCs w:val="32"/>
          <w:lang w:val="en-US" w:eastAsia="zh-CN"/>
        </w:rPr>
        <w:t>（1）</w:t>
      </w:r>
      <w:r>
        <w:rPr>
          <w:rFonts w:hint="eastAsia" w:ascii="仿宋" w:eastAsia="仿宋"/>
          <w:bCs/>
          <w:sz w:val="32"/>
          <w:szCs w:val="32"/>
          <w:lang w:eastAsia="zh-CN"/>
        </w:rPr>
        <w:t>残疾人法律维权绩效评价开展情况。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rPr>
          <w:rFonts w:hint="eastAsia" w:ascii="仿宋" w:eastAsia="仿宋"/>
          <w:sz w:val="32"/>
          <w:szCs w:val="32"/>
          <w:lang w:val="en-US" w:eastAsia="zh-CN"/>
        </w:rPr>
      </w:pPr>
      <w:r>
        <w:rPr>
          <w:rFonts w:hint="eastAsia" w:ascii="仿宋" w:eastAsia="仿宋"/>
          <w:sz w:val="32"/>
          <w:szCs w:val="32"/>
          <w:lang w:eastAsia="zh-CN"/>
        </w:rPr>
        <w:t xml:space="preserve">    健全了残疾人法律服务体系，切实保障残疾人合法权益；城乡无障碍环境建设全面推进；残疾人的诉求能够得到及时解决，保障了残疾人出行权利。维护了残疾人合法权益。</w:t>
      </w:r>
      <w:r>
        <w:rPr>
          <w:rFonts w:hint="eastAsia" w:ascii="仿宋" w:eastAsia="仿宋"/>
          <w:sz w:val="32"/>
          <w:szCs w:val="32"/>
          <w:lang w:val="en-US" w:eastAsia="zh-CN"/>
        </w:rPr>
        <w:t>此项目绩效评价结果为优秀。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ind w:firstLine="641"/>
        <w:rPr>
          <w:rFonts w:hint="eastAsia" w:ascii="仿宋" w:eastAsia="仿宋"/>
          <w:b/>
          <w:sz w:val="32"/>
          <w:szCs w:val="32"/>
          <w:lang w:eastAsia="zh-CN"/>
        </w:rPr>
      </w:pPr>
      <w:r>
        <w:rPr>
          <w:rFonts w:hint="eastAsia" w:ascii="仿宋" w:eastAsia="仿宋"/>
          <w:bCs/>
          <w:sz w:val="32"/>
          <w:szCs w:val="32"/>
          <w:lang w:val="en-US" w:eastAsia="zh-CN"/>
        </w:rPr>
        <w:t>（2）</w:t>
      </w:r>
      <w:r>
        <w:rPr>
          <w:rFonts w:hint="eastAsia" w:ascii="仿宋" w:eastAsia="仿宋"/>
          <w:bCs/>
          <w:sz w:val="32"/>
          <w:szCs w:val="32"/>
          <w:lang w:eastAsia="zh-CN"/>
        </w:rPr>
        <w:t>残疾人服务绩效评价开展情况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ind w:firstLine="641"/>
        <w:rPr>
          <w:rFonts w:hint="eastAsia" w:ascii="仿宋" w:eastAsia="仿宋"/>
          <w:sz w:val="32"/>
          <w:szCs w:val="32"/>
          <w:lang w:eastAsia="zh-CN"/>
        </w:rPr>
      </w:pPr>
      <w:r>
        <w:rPr>
          <w:rFonts w:hint="eastAsia" w:ascii="仿宋" w:eastAsia="仿宋"/>
          <w:sz w:val="32"/>
          <w:szCs w:val="32"/>
          <w:lang w:eastAsia="zh-CN"/>
        </w:rPr>
        <w:t>通过开展康复、扶贫、教育培训等活动，直接为残疾人服务；逐步实现残疾人“人人享有康复服务”；保障贫困和重度残疾人基本生活，提高了残疾儿童义务教育入学率和残疾人就业率，丰富残疾人文体生活。促进了残疾人增收致富；对当年考入高等学校的贫困残疾大学生及残疾人家庭子女实施资助；提高残疾人就业率。通过媒体宣传广泛深入，丰富了残疾人文体生活，残疾人文化体育比赛成绩优良，助残志愿者与残疾人对接良好。</w:t>
      </w:r>
      <w:r>
        <w:rPr>
          <w:rFonts w:hint="eastAsia" w:ascii="仿宋" w:eastAsia="仿宋"/>
          <w:sz w:val="32"/>
          <w:szCs w:val="32"/>
          <w:lang w:val="en-US" w:eastAsia="zh-CN"/>
        </w:rPr>
        <w:t>此项目绩效评价结果为良好。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ind w:firstLine="641"/>
        <w:rPr>
          <w:rFonts w:hint="eastAsia" w:ascii="仿宋" w:eastAsia="仿宋"/>
          <w:bCs/>
          <w:sz w:val="32"/>
          <w:szCs w:val="32"/>
          <w:lang w:eastAsia="zh-CN"/>
        </w:rPr>
      </w:pPr>
      <w:r>
        <w:rPr>
          <w:rFonts w:hint="eastAsia" w:ascii="仿宋" w:eastAsia="仿宋"/>
          <w:bCs/>
          <w:sz w:val="32"/>
          <w:szCs w:val="32"/>
          <w:lang w:val="en-US" w:eastAsia="zh-CN"/>
        </w:rPr>
        <w:t>（3）</w:t>
      </w:r>
      <w:r>
        <w:rPr>
          <w:rFonts w:hint="eastAsia" w:ascii="仿宋" w:eastAsia="仿宋"/>
          <w:bCs/>
          <w:sz w:val="32"/>
          <w:szCs w:val="32"/>
          <w:lang w:eastAsia="zh-CN"/>
        </w:rPr>
        <w:t>残疾人综合业务管理绩效评价开展情况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outlineLvl w:val="9"/>
        <w:rPr>
          <w:rFonts w:hint="eastAsia" w:ascii="仿宋" w:eastAsia="仿宋"/>
          <w:sz w:val="32"/>
          <w:szCs w:val="32"/>
          <w:lang w:eastAsia="zh-CN"/>
        </w:rPr>
      </w:pPr>
      <w:r>
        <w:rPr>
          <w:rFonts w:hint="eastAsia" w:ascii="仿宋" w:eastAsia="仿宋"/>
          <w:sz w:val="32"/>
          <w:szCs w:val="32"/>
          <w:lang w:eastAsia="zh-CN"/>
        </w:rPr>
        <w:t>对持证残疾人需求情况进行了调查，对残疾人状况进行动态监测，加强和规范残疾人基层组织建设，加大残疾人就业保障金的征收力度，加强残疾人工作信息化建设和基础研究；摸清残疾人底数，增强基层服务残疾人的能力，确保残疾人就业保障金的稳定增收；构建残疾人公共服务网络化平台。发挥了专门协会桥梁纽带作用，提高了残疾人证办证率；2017年我单位各项工作顺利进行。</w:t>
      </w:r>
      <w:r>
        <w:rPr>
          <w:rFonts w:hint="eastAsia" w:ascii="仿宋" w:eastAsia="仿宋"/>
          <w:sz w:val="32"/>
          <w:szCs w:val="32"/>
          <w:lang w:val="en-US" w:eastAsia="zh-CN"/>
        </w:rPr>
        <w:t>此项目绩效评价结果为优秀。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七、其他重要事项的说明</w:t>
      </w:r>
    </w:p>
    <w:p>
      <w:pPr>
        <w:pStyle w:val="2"/>
        <w:spacing w:before="0" w:after="0" w:line="584" w:lineRule="exact"/>
        <w:ind w:firstLine="643" w:firstLineChars="200"/>
        <w:rPr>
          <w:rFonts w:hint="eastAsia" w:ascii="Times New Roman" w:hAnsi="Times New Roman" w:eastAsia="楷体_GB2312" w:cs="Times New Roman"/>
          <w:lang w:val="en-US" w:eastAsia="zh-CN"/>
        </w:rPr>
      </w:pPr>
      <w:r>
        <w:rPr>
          <w:rFonts w:hint="eastAsia" w:ascii="Times New Roman" w:hAnsi="Times New Roman" w:eastAsia="楷体_GB2312" w:cs="Times New Roman"/>
          <w:lang w:val="en-US" w:eastAsia="zh-CN"/>
        </w:rPr>
        <w:t>（一）机关运行经费情况</w:t>
      </w:r>
    </w:p>
    <w:p>
      <w:pPr>
        <w:numPr>
          <w:ilvl w:val="0"/>
          <w:numId w:val="0"/>
        </w:numPr>
        <w:spacing w:line="560" w:lineRule="exact"/>
        <w:rPr>
          <w:rFonts w:hint="eastAsia" w:ascii="仿宋" w:eastAsia="仿宋"/>
          <w:sz w:val="32"/>
          <w:szCs w:val="32"/>
          <w:lang w:val="en-US" w:eastAsia="zh-CN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 xml:space="preserve">    本单位为事业单位，无机关运行经费。</w:t>
      </w:r>
    </w:p>
    <w:p>
      <w:pPr>
        <w:pStyle w:val="2"/>
        <w:spacing w:before="0" w:after="0" w:line="584" w:lineRule="exact"/>
        <w:ind w:firstLine="643" w:firstLineChars="200"/>
        <w:rPr>
          <w:rFonts w:hint="eastAsia" w:ascii="Times New Roman" w:hAnsi="Times New Roman" w:eastAsia="楷体_GB2312" w:cs="Times New Roman"/>
          <w:lang w:val="en-US" w:eastAsia="zh-CN"/>
        </w:rPr>
      </w:pPr>
      <w:r>
        <w:rPr>
          <w:rFonts w:hint="eastAsia" w:ascii="Times New Roman" w:hAnsi="Times New Roman" w:eastAsia="楷体_GB2312" w:cs="Times New Roman"/>
          <w:lang w:val="en-US" w:eastAsia="zh-CN"/>
        </w:rPr>
        <w:t>（二）政府采购情况</w:t>
      </w:r>
    </w:p>
    <w:p>
      <w:pPr>
        <w:numPr>
          <w:ilvl w:val="0"/>
          <w:numId w:val="0"/>
        </w:numPr>
        <w:spacing w:line="560" w:lineRule="exact"/>
        <w:rPr>
          <w:rFonts w:hint="eastAsia" w:ascii="仿宋" w:eastAsia="仿宋"/>
          <w:sz w:val="32"/>
          <w:szCs w:val="32"/>
          <w:lang w:val="en-US" w:eastAsia="zh-CN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Calibri" w:hAnsi="Calibri" w:eastAsia="仿宋_GB2312" w:cs="Times New Roman"/>
          <w:kern w:val="0"/>
          <w:sz w:val="32"/>
          <w:szCs w:val="32"/>
          <w:lang w:val="en-US" w:eastAsia="zh-CN"/>
        </w:rPr>
        <w:t>2017年大城县残疾人联合会无采购内容。</w:t>
      </w:r>
    </w:p>
    <w:p>
      <w:pPr>
        <w:pStyle w:val="2"/>
        <w:spacing w:before="0" w:after="0" w:line="584" w:lineRule="exact"/>
        <w:ind w:firstLine="643" w:firstLineChars="200"/>
        <w:rPr>
          <w:rFonts w:hint="eastAsia" w:ascii="仿宋" w:eastAsia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lang w:val="en-US" w:eastAsia="zh-CN"/>
        </w:rPr>
        <w:t>（三）国有资产占用情况</w:t>
      </w:r>
      <w:r>
        <w:rPr>
          <w:rFonts w:hint="eastAsia" w:ascii="仿宋" w:eastAsia="仿宋"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Calibri" w:hAnsi="Calibri" w:eastAsia="仿宋_GB2312" w:cs="Times New Roman"/>
          <w:color w:val="3E3E3E"/>
          <w:sz w:val="32"/>
          <w:szCs w:val="32"/>
        </w:rPr>
      </w:pPr>
      <w:r>
        <w:rPr>
          <w:rFonts w:ascii="Calibri" w:hAnsi="Calibri" w:eastAsia="仿宋_GB2312" w:cs="Times New Roman"/>
          <w:color w:val="3E3E3E"/>
          <w:sz w:val="32"/>
          <w:szCs w:val="32"/>
        </w:rPr>
        <w:t>截至</w:t>
      </w:r>
      <w:r>
        <w:rPr>
          <w:rFonts w:hint="eastAsia" w:ascii="Calibri" w:hAnsi="Calibri" w:eastAsia="仿宋_GB2312" w:cs="Times New Roman"/>
          <w:color w:val="3E3E3E"/>
          <w:sz w:val="32"/>
          <w:szCs w:val="32"/>
          <w:lang w:eastAsia="zh-CN"/>
        </w:rPr>
        <w:t>2017</w:t>
      </w:r>
      <w:r>
        <w:rPr>
          <w:rFonts w:ascii="Calibri" w:hAnsi="Calibri" w:eastAsia="仿宋_GB2312" w:cs="Times New Roman"/>
          <w:color w:val="3E3E3E"/>
          <w:sz w:val="32"/>
          <w:szCs w:val="32"/>
        </w:rPr>
        <w:t>年12月31日，本部门共有车辆</w:t>
      </w:r>
      <w:r>
        <w:rPr>
          <w:rFonts w:hint="eastAsia" w:ascii="Calibri" w:hAnsi="Calibri" w:eastAsia="仿宋_GB2312" w:cs="Times New Roman"/>
          <w:color w:val="3E3E3E"/>
          <w:sz w:val="32"/>
          <w:szCs w:val="32"/>
          <w:lang w:val="en-US" w:eastAsia="zh-CN"/>
        </w:rPr>
        <w:t>2</w:t>
      </w:r>
      <w:r>
        <w:rPr>
          <w:rFonts w:ascii="Calibri" w:hAnsi="Calibri" w:eastAsia="仿宋_GB2312" w:cs="Times New Roman"/>
          <w:color w:val="3E3E3E"/>
          <w:sz w:val="32"/>
          <w:szCs w:val="32"/>
        </w:rPr>
        <w:t>辆，其中，</w:t>
      </w:r>
      <w:r>
        <w:rPr>
          <w:rFonts w:hint="eastAsia" w:ascii="Calibri" w:hAnsi="Calibri" w:eastAsia="仿宋_GB2312" w:cs="Times New Roman"/>
          <w:color w:val="3E3E3E"/>
          <w:sz w:val="32"/>
          <w:szCs w:val="32"/>
          <w:lang w:eastAsia="zh-CN"/>
        </w:rPr>
        <w:t>待报废车辆</w:t>
      </w:r>
      <w:r>
        <w:rPr>
          <w:rFonts w:hint="eastAsia" w:ascii="Calibri" w:hAnsi="Calibri" w:eastAsia="仿宋_GB2312" w:cs="Times New Roman"/>
          <w:color w:val="3E3E3E"/>
          <w:sz w:val="32"/>
          <w:szCs w:val="32"/>
          <w:lang w:val="en-US" w:eastAsia="zh-CN"/>
        </w:rPr>
        <w:t>1辆，</w:t>
      </w:r>
      <w:r>
        <w:rPr>
          <w:rFonts w:ascii="Calibri" w:hAnsi="Calibri" w:eastAsia="仿宋_GB2312" w:cs="Times New Roman"/>
          <w:color w:val="3E3E3E"/>
          <w:sz w:val="32"/>
          <w:szCs w:val="32"/>
        </w:rPr>
        <w:t>一般公务用车</w:t>
      </w:r>
      <w:r>
        <w:rPr>
          <w:rFonts w:hint="eastAsia" w:ascii="Calibri" w:hAnsi="Calibri" w:eastAsia="仿宋_GB2312" w:cs="Times New Roman"/>
          <w:color w:val="3E3E3E"/>
          <w:sz w:val="32"/>
          <w:szCs w:val="32"/>
          <w:lang w:val="en-US" w:eastAsia="zh-CN"/>
        </w:rPr>
        <w:t>1</w:t>
      </w:r>
      <w:r>
        <w:rPr>
          <w:rFonts w:ascii="Calibri" w:hAnsi="Calibri" w:eastAsia="仿宋_GB2312" w:cs="Times New Roman"/>
          <w:color w:val="3E3E3E"/>
          <w:sz w:val="32"/>
          <w:szCs w:val="32"/>
        </w:rPr>
        <w:t>辆；单位价值50万元以上大型设备</w:t>
      </w:r>
      <w:r>
        <w:rPr>
          <w:rFonts w:hint="eastAsia" w:ascii="Calibri" w:hAnsi="Calibri" w:eastAsia="仿宋_GB2312" w:cs="Times New Roman"/>
          <w:color w:val="3E3E3E"/>
          <w:sz w:val="32"/>
          <w:szCs w:val="32"/>
          <w:lang w:val="en-US" w:eastAsia="zh-CN"/>
        </w:rPr>
        <w:t>0</w:t>
      </w:r>
      <w:r>
        <w:rPr>
          <w:rFonts w:ascii="Calibri" w:hAnsi="Calibri" w:eastAsia="仿宋_GB2312" w:cs="Times New Roman"/>
          <w:color w:val="3E3E3E"/>
          <w:sz w:val="32"/>
          <w:szCs w:val="32"/>
        </w:rPr>
        <w:t>台（套），单位价值100万元以上大型设备</w:t>
      </w:r>
      <w:r>
        <w:rPr>
          <w:rFonts w:hint="eastAsia" w:ascii="Calibri" w:hAnsi="Calibri" w:eastAsia="仿宋_GB2312" w:cs="Times New Roman"/>
          <w:color w:val="3E3E3E"/>
          <w:sz w:val="32"/>
          <w:szCs w:val="32"/>
          <w:lang w:val="en-US" w:eastAsia="zh-CN"/>
        </w:rPr>
        <w:t>0</w:t>
      </w:r>
      <w:r>
        <w:rPr>
          <w:rFonts w:ascii="Calibri" w:hAnsi="Calibri" w:eastAsia="仿宋_GB2312" w:cs="Times New Roman"/>
          <w:color w:val="3E3E3E"/>
          <w:sz w:val="32"/>
          <w:szCs w:val="32"/>
        </w:rPr>
        <w:t>台（套）。</w:t>
      </w:r>
    </w:p>
    <w:tbl>
      <w:tblPr>
        <w:tblStyle w:val="7"/>
        <w:tblW w:w="149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0"/>
        <w:gridCol w:w="3503"/>
        <w:gridCol w:w="56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4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spacing w:line="584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spacing w:line="584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spacing w:line="584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spacing w:line="584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val="en-US" w:eastAsia="zh-CN"/>
              </w:rPr>
              <w:t>大城县残疾人联合会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部门固定资产占用情况表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84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编制部门：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大城县残疾人联合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84" w:lineRule="exact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截止时间：201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年12月31日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4" w:lineRule="exact"/>
              <w:ind w:firstLine="640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项目</w:t>
            </w:r>
          </w:p>
        </w:tc>
        <w:tc>
          <w:tcPr>
            <w:tcW w:w="3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4" w:lineRule="exact"/>
              <w:ind w:firstLine="640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数量</w:t>
            </w:r>
          </w:p>
        </w:tc>
        <w:tc>
          <w:tcPr>
            <w:tcW w:w="5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4" w:lineRule="exact"/>
              <w:ind w:firstLine="640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价值（金额单位：万元）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4" w:lineRule="exact"/>
              <w:ind w:firstLine="640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资产总额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4" w:lineRule="exact"/>
              <w:ind w:firstLine="640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——</w:t>
            </w:r>
          </w:p>
        </w:tc>
        <w:tc>
          <w:tcPr>
            <w:tcW w:w="5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4" w:lineRule="exact"/>
              <w:ind w:firstLine="640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4" w:lineRule="exact"/>
              <w:ind w:firstLine="640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1、房屋（平方米）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4" w:lineRule="exact"/>
              <w:ind w:firstLine="640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4" w:lineRule="exact"/>
              <w:ind w:firstLine="640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4" w:lineRule="exact"/>
              <w:ind w:firstLine="640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其中：办公用房（平方米）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4" w:lineRule="exact"/>
              <w:ind w:firstLine="640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4" w:lineRule="exact"/>
              <w:ind w:firstLine="640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4" w:lineRule="exact"/>
              <w:ind w:firstLine="640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2、车辆（台、辆）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4" w:lineRule="exact"/>
              <w:ind w:firstLine="640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5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4" w:lineRule="exact"/>
              <w:ind w:firstLine="640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4" w:lineRule="exact"/>
              <w:ind w:firstLine="640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3、单价在20万元以上的设备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4" w:lineRule="exact"/>
              <w:ind w:firstLine="640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4" w:lineRule="exact"/>
              <w:ind w:firstLine="640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4" w:lineRule="exact"/>
              <w:ind w:firstLine="640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4、其他固定资产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4" w:lineRule="exact"/>
              <w:ind w:firstLine="640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4" w:lineRule="exact"/>
              <w:ind w:firstLine="640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5.92</w:t>
            </w:r>
          </w:p>
        </w:tc>
      </w:tr>
    </w:tbl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Calibri" w:hAnsi="Calibri" w:eastAsia="仿宋_GB2312" w:cs="Times New Roman"/>
          <w:color w:val="3E3E3E"/>
          <w:sz w:val="32"/>
          <w:szCs w:val="32"/>
          <w:lang w:val="en-US" w:eastAsia="zh-CN"/>
        </w:rPr>
      </w:pPr>
    </w:p>
    <w:p>
      <w:pPr>
        <w:pStyle w:val="2"/>
        <w:spacing w:before="0" w:after="0" w:line="584" w:lineRule="exact"/>
        <w:ind w:firstLine="643" w:firstLineChars="200"/>
        <w:rPr>
          <w:rFonts w:hint="eastAsia" w:ascii="Times New Roman" w:hAnsi="Times New Roman" w:eastAsia="楷体_GB2312" w:cs="Times New Roman"/>
          <w:lang w:val="en-US" w:eastAsia="zh-CN"/>
        </w:rPr>
      </w:pPr>
      <w:r>
        <w:rPr>
          <w:rFonts w:hint="eastAsia" w:ascii="Times New Roman" w:hAnsi="Times New Roman" w:eastAsia="楷体_GB2312" w:cs="Times New Roman"/>
          <w:lang w:val="en-US" w:eastAsia="zh-CN"/>
        </w:rPr>
        <w:t>（四）其他需要说明的情况</w:t>
      </w:r>
    </w:p>
    <w:p>
      <w:pPr>
        <w:adjustRightInd w:val="0"/>
        <w:snapToGrid w:val="0"/>
        <w:spacing w:line="584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1、本部门2017年度</w:t>
      </w:r>
      <w:r>
        <w:rPr>
          <w:rFonts w:hint="eastAsia" w:eastAsia="仿宋_GB2312"/>
          <w:sz w:val="32"/>
          <w:szCs w:val="32"/>
          <w:lang w:val="en-US" w:eastAsia="zh-CN"/>
        </w:rPr>
        <w:t>国有资本经营预算财政拨款</w:t>
      </w:r>
      <w:r>
        <w:rPr>
          <w:rFonts w:eastAsia="仿宋_GB2312"/>
          <w:sz w:val="32"/>
          <w:szCs w:val="32"/>
        </w:rPr>
        <w:t>无收支及结转结余情况，故</w:t>
      </w:r>
      <w:r>
        <w:rPr>
          <w:rFonts w:hint="eastAsia" w:eastAsia="仿宋_GB2312"/>
          <w:sz w:val="32"/>
          <w:szCs w:val="32"/>
          <w:lang w:val="en-US" w:eastAsia="zh-CN"/>
        </w:rPr>
        <w:t>国有资本经营预算财政拨款收入支出决算</w:t>
      </w:r>
      <w:r>
        <w:rPr>
          <w:rFonts w:eastAsia="仿宋_GB2312"/>
          <w:sz w:val="32"/>
          <w:szCs w:val="32"/>
        </w:rPr>
        <w:t>表以空表列示。</w:t>
      </w:r>
    </w:p>
    <w:p>
      <w:pPr>
        <w:adjustRightInd w:val="0"/>
        <w:snapToGrid w:val="0"/>
        <w:spacing w:line="584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2、由于决算公开表格中金额数值应当保留两位小数，公开数据为四舍五入计算结果，个别数据合计项与分项之和存在小数点后差额，特此说明。</w:t>
      </w:r>
    </w:p>
    <w:p>
      <w:pPr>
        <w:numPr>
          <w:ilvl w:val="0"/>
          <w:numId w:val="0"/>
        </w:numPr>
        <w:spacing w:line="560" w:lineRule="exact"/>
        <w:rPr>
          <w:rFonts w:hint="eastAsia" w:ascii="仿宋" w:eastAsia="仿宋"/>
          <w:sz w:val="32"/>
          <w:szCs w:val="32"/>
          <w:lang w:val="en-US" w:eastAsia="zh-CN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 xml:space="preserve">     </w:t>
      </w:r>
    </w:p>
    <w:p>
      <w:pPr>
        <w:numPr>
          <w:ilvl w:val="0"/>
          <w:numId w:val="0"/>
        </w:numPr>
        <w:spacing w:line="560" w:lineRule="exact"/>
        <w:jc w:val="center"/>
        <w:rPr>
          <w:rFonts w:ascii="Calibri" w:hAnsi="Calibri" w:eastAsia="黑体" w:cs="Times New Roman"/>
          <w:sz w:val="32"/>
          <w:szCs w:val="32"/>
        </w:rPr>
      </w:pPr>
      <w:r>
        <w:rPr>
          <w:rFonts w:hint="eastAsia" w:ascii="Calibri" w:hAnsi="Calibri" w:eastAsia="黑体" w:cs="Times New Roman"/>
          <w:sz w:val="32"/>
          <w:szCs w:val="32"/>
          <w:lang w:val="en-US" w:eastAsia="zh-CN"/>
        </w:rPr>
        <w:t xml:space="preserve">第四部分 </w:t>
      </w:r>
      <w:r>
        <w:rPr>
          <w:rFonts w:ascii="Calibri" w:hAnsi="Calibri" w:eastAsia="黑体" w:cs="Times New Roman"/>
          <w:sz w:val="32"/>
          <w:szCs w:val="32"/>
        </w:rPr>
        <w:t>名词解释</w:t>
      </w:r>
    </w:p>
    <w:p>
      <w:pPr>
        <w:keepNext w:val="0"/>
        <w:keepLines w:val="0"/>
        <w:widowControl/>
        <w:suppressLineNumbers w:val="0"/>
        <w:spacing w:line="360" w:lineRule="atLeast"/>
        <w:ind w:left="0" w:right="0" w:firstLine="643" w:firstLineChars="200"/>
        <w:jc w:val="left"/>
        <w:rPr>
          <w:rFonts w:hint="eastAsia" w:ascii="Calibri" w:hAnsi="Calibri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widowControl/>
        <w:suppressLineNumbers w:val="0"/>
        <w:spacing w:line="360" w:lineRule="atLeast"/>
        <w:ind w:left="0" w:right="0" w:firstLine="643" w:firstLineChars="200"/>
        <w:jc w:val="left"/>
        <w:rPr>
          <w:rFonts w:hint="eastAsia" w:ascii="Calibri" w:hAnsi="Calibri" w:eastAsia="仿宋_GB2312" w:cs="Times New Roman"/>
          <w:sz w:val="32"/>
          <w:szCs w:val="32"/>
        </w:rPr>
      </w:pPr>
      <w:r>
        <w:rPr>
          <w:rFonts w:hint="eastAsia" w:ascii="Calibri" w:hAnsi="Calibri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Calibri" w:hAnsi="Calibri" w:eastAsia="仿宋_GB2312" w:cs="Times New Roman"/>
          <w:b/>
          <w:bCs/>
          <w:sz w:val="32"/>
          <w:szCs w:val="32"/>
          <w:lang w:val="en-US" w:eastAsia="zh-CN"/>
        </w:rPr>
        <w:t>一）</w:t>
      </w:r>
      <w:r>
        <w:rPr>
          <w:rFonts w:ascii="Calibri" w:hAnsi="Calibri" w:eastAsia="仿宋_GB2312" w:cs="Times New Roman"/>
          <w:b/>
          <w:bCs/>
          <w:sz w:val="32"/>
          <w:szCs w:val="32"/>
        </w:rPr>
        <w:t>一般公共预算财政拨款收入</w:t>
      </w:r>
      <w:r>
        <w:rPr>
          <w:rFonts w:hint="eastAsia" w:ascii="Calibri" w:hAnsi="Calibri" w:eastAsia="仿宋_GB2312" w:cs="Times New Roman"/>
          <w:b/>
          <w:bCs/>
          <w:sz w:val="32"/>
          <w:szCs w:val="32"/>
          <w:lang w:eastAsia="zh-CN"/>
        </w:rPr>
        <w:t>：</w:t>
      </w:r>
      <w:r>
        <w:rPr>
          <w:rFonts w:hint="default" w:ascii="Calibri" w:hAnsi="Calibri" w:eastAsia="仿宋_GB2312" w:cs="Times New Roman"/>
          <w:sz w:val="32"/>
          <w:szCs w:val="32"/>
          <w:lang w:val="en-US" w:eastAsia="zh-CN"/>
        </w:rPr>
        <w:t>指事业单位通过预算从</w:t>
      </w:r>
      <w:r>
        <w:rPr>
          <w:rFonts w:hint="default" w:ascii="Calibri" w:hAnsi="Calibri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Calibri" w:hAnsi="Calibri" w:eastAsia="仿宋_GB2312" w:cs="Times New Roman"/>
          <w:sz w:val="32"/>
          <w:szCs w:val="32"/>
          <w:lang w:val="en-US" w:eastAsia="zh-CN"/>
        </w:rPr>
        <w:instrText xml:space="preserve"> HYPERLINK "http://www.baidu.com/s?wd=%E8%B4%A2%E6%94%BF%E9%83%A8%E9%97%A8&amp;tn=44039180_cpr&amp;fenlei=mv6quAkxTZn0IZRqIHckPjm4nH00T1dWPHmYnj-huhcvnyN9PWPb0ZwV5Hcvrjm3rH6sPfKWUMw85HfYnjn4nH6sgvPsT6KdThsqpZwYTjCEQLGCpyw9Uz4Bmy-bIi4WUvYETgN-TLwGUv3EnWR4PH63PWD1" \t "https://zhidao.baidu.com/question/_blank" </w:instrText>
      </w:r>
      <w:r>
        <w:rPr>
          <w:rFonts w:hint="default" w:ascii="Calibri" w:hAnsi="Calibri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Calibri" w:hAnsi="Calibri" w:eastAsia="仿宋_GB2312" w:cs="Times New Roman"/>
          <w:sz w:val="32"/>
          <w:szCs w:val="32"/>
        </w:rPr>
        <w:t>财政部门</w:t>
      </w:r>
      <w:r>
        <w:rPr>
          <w:rFonts w:hint="default" w:ascii="Calibri" w:hAnsi="Calibri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default" w:ascii="Calibri" w:hAnsi="Calibri" w:eastAsia="仿宋_GB2312" w:cs="Times New Roman"/>
          <w:sz w:val="32"/>
          <w:szCs w:val="32"/>
          <w:lang w:val="en-US" w:eastAsia="zh-CN"/>
        </w:rPr>
        <w:t>取得的和通过主管部门从</w:t>
      </w:r>
      <w:r>
        <w:rPr>
          <w:rFonts w:hint="default" w:ascii="Calibri" w:hAnsi="Calibri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Calibri" w:hAnsi="Calibri" w:eastAsia="仿宋_GB2312" w:cs="Times New Roman"/>
          <w:sz w:val="32"/>
          <w:szCs w:val="32"/>
          <w:lang w:val="en-US" w:eastAsia="zh-CN"/>
        </w:rPr>
        <w:instrText xml:space="preserve"> HYPERLINK "http://www.baidu.com/s?wd=%E8%B4%A2%E6%94%BF%E9%83%A8%E9%97%A8&amp;tn=44039180_cpr&amp;fenlei=mv6quAkxTZn0IZRqIHckPjm4nH00T1dWPHmYnj-huhcvnyN9PWPb0ZwV5Hcvrjm3rH6sPfKWUMw85HfYnjn4nH6sgvPsT6KdThsqpZwYTjCEQLGCpyw9Uz4Bmy-bIi4WUvYETgN-TLwGUv3EnWR4PH63PWD1" \t "https://zhidao.baidu.com/question/_blank" </w:instrText>
      </w:r>
      <w:r>
        <w:rPr>
          <w:rFonts w:hint="default" w:ascii="Calibri" w:hAnsi="Calibri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Calibri" w:hAnsi="Calibri" w:eastAsia="仿宋_GB2312" w:cs="Times New Roman"/>
          <w:sz w:val="32"/>
          <w:szCs w:val="32"/>
        </w:rPr>
        <w:t>财政部门</w:t>
      </w:r>
      <w:r>
        <w:rPr>
          <w:rFonts w:hint="default" w:ascii="Calibri" w:hAnsi="Calibri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default" w:ascii="Calibri" w:hAnsi="Calibri" w:eastAsia="仿宋_GB2312" w:cs="Times New Roman"/>
          <w:sz w:val="32"/>
          <w:szCs w:val="32"/>
          <w:lang w:val="en-US" w:eastAsia="zh-CN"/>
        </w:rPr>
        <w:t xml:space="preserve">取得的各类事业经费，包括正常经费和专项资金。 </w:t>
      </w:r>
    </w:p>
    <w:p>
      <w:pPr>
        <w:keepNext w:val="0"/>
        <w:keepLines w:val="0"/>
        <w:widowControl/>
        <w:suppressLineNumbers w:val="0"/>
        <w:spacing w:line="360" w:lineRule="atLeast"/>
        <w:ind w:left="0" w:right="0" w:firstLine="643" w:firstLineChars="200"/>
        <w:jc w:val="left"/>
        <w:rPr>
          <w:rFonts w:hint="eastAsia" w:ascii="Calibri" w:hAnsi="Calibri" w:eastAsia="仿宋_GB2312" w:cs="Times New Roman"/>
          <w:sz w:val="32"/>
          <w:szCs w:val="32"/>
          <w:lang w:eastAsia="zh-CN"/>
        </w:rPr>
      </w:pPr>
      <w:r>
        <w:rPr>
          <w:rFonts w:hint="eastAsia" w:ascii="Calibri" w:hAnsi="Calibri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Calibri" w:hAnsi="Calibri" w:eastAsia="仿宋_GB2312" w:cs="Times New Roman"/>
          <w:b/>
          <w:bCs/>
          <w:sz w:val="32"/>
          <w:szCs w:val="32"/>
          <w:lang w:val="en-US" w:eastAsia="zh-CN"/>
        </w:rPr>
        <w:t>二）</w:t>
      </w:r>
      <w:r>
        <w:rPr>
          <w:rFonts w:ascii="Calibri" w:hAnsi="Calibri" w:eastAsia="仿宋_GB2312" w:cs="Times New Roman"/>
          <w:b/>
          <w:bCs/>
          <w:sz w:val="32"/>
          <w:szCs w:val="32"/>
        </w:rPr>
        <w:t>事业收入</w:t>
      </w:r>
      <w:r>
        <w:rPr>
          <w:rFonts w:hint="eastAsia" w:ascii="Calibri" w:hAnsi="Calibri" w:eastAsia="仿宋_GB2312" w:cs="Times New Roman"/>
          <w:b/>
          <w:bCs/>
          <w:sz w:val="32"/>
          <w:szCs w:val="32"/>
          <w:lang w:eastAsia="zh-CN"/>
        </w:rPr>
        <w:t>：</w:t>
      </w:r>
      <w:r>
        <w:rPr>
          <w:rFonts w:ascii="Calibri" w:hAnsi="Calibri" w:eastAsia="仿宋_GB2312" w:cs="Times New Roman"/>
          <w:sz w:val="32"/>
          <w:szCs w:val="32"/>
        </w:rPr>
        <w:fldChar w:fldCharType="begin"/>
      </w:r>
      <w:r>
        <w:rPr>
          <w:rFonts w:ascii="Calibri" w:hAnsi="Calibri" w:eastAsia="仿宋_GB2312" w:cs="Times New Roman"/>
          <w:sz w:val="32"/>
          <w:szCs w:val="32"/>
        </w:rPr>
        <w:instrText xml:space="preserve"> HYPERLINK "http://www.baidu.com/s?wd=%E4%BA%8B%E4%B8%9A%E6%94%B6%E5%85%A5&amp;tn=44039180_cpr&amp;fenlei=mv6quAkxTZn0IZRqIHckPjm4nH00T1dWPHmYnj-huhcvnyN9PWPb0ZwV5Hcvrjm3rH6sPfKWUMw85HfYnjn4nH6sgvPsT6KdThsqpZwYTjCEQLGCpyw9Uz4Bmy-bIi4WUvYETgN-TLwGUv3EnWR4PH63PWD1" \t "https://zhidao.baidu.com/question/_blank" </w:instrText>
      </w:r>
      <w:r>
        <w:rPr>
          <w:rFonts w:ascii="Calibri" w:hAnsi="Calibri" w:eastAsia="仿宋_GB2312" w:cs="Times New Roman"/>
          <w:sz w:val="32"/>
          <w:szCs w:val="32"/>
        </w:rPr>
        <w:fldChar w:fldCharType="separate"/>
      </w:r>
      <w:r>
        <w:rPr>
          <w:rFonts w:ascii="Calibri" w:hAnsi="Calibri" w:eastAsia="仿宋_GB2312" w:cs="Times New Roman"/>
          <w:sz w:val="32"/>
          <w:szCs w:val="32"/>
        </w:rPr>
        <w:fldChar w:fldCharType="end"/>
      </w:r>
      <w:r>
        <w:rPr>
          <w:rFonts w:ascii="Calibri" w:hAnsi="Calibri" w:eastAsia="仿宋_GB2312" w:cs="Times New Roman"/>
          <w:sz w:val="32"/>
          <w:szCs w:val="32"/>
        </w:rPr>
        <w:t>是指事业单位开展专业活动及辅助活动所取得的收入</w:t>
      </w: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widowControl/>
        <w:suppressLineNumbers w:val="0"/>
        <w:spacing w:line="360" w:lineRule="atLeast"/>
        <w:ind w:left="0" w:right="0" w:firstLine="643" w:firstLineChars="200"/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Calibri" w:hAnsi="Calibri" w:eastAsia="仿宋_GB2312" w:cs="Times New Roman"/>
          <w:b/>
          <w:bCs/>
          <w:sz w:val="32"/>
          <w:szCs w:val="32"/>
          <w:lang w:val="en-US" w:eastAsia="zh-CN"/>
        </w:rPr>
        <w:t>三）</w:t>
      </w:r>
      <w:r>
        <w:rPr>
          <w:rFonts w:hint="eastAsia" w:ascii="Calibri" w:hAnsi="Calibri" w:eastAsia="仿宋_GB2312" w:cs="Times New Roman"/>
          <w:b/>
          <w:bCs/>
          <w:sz w:val="32"/>
          <w:szCs w:val="32"/>
          <w:lang w:eastAsia="zh-CN"/>
        </w:rPr>
        <w:t>其他收入：</w:t>
      </w: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-SA"/>
        </w:rPr>
        <w:t>指事业单位取得的除</w:t>
      </w: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-SA"/>
        </w:rPr>
        <w:instrText xml:space="preserve"> HYPERLINK "http://www.baidu.com/s?wd=%E8%B4%A2%E6%94%BF%E8%A1%A5%E5%8A%A9%E6%94%B6%E5%85%A5&amp;tn=44039180_cpr&amp;fenlei=mv6quAkxTZn0IZRqIHckPjm4nH00T1d9rjbvuW7BrHb4PhfkmhmL0ZwV5Hcvrjm3rH6sPfKWUMw85HfYnjn4nH6sgvPsT6KdThsqpZwYTjCEQLGCpyw9Uz4Bmy-bIi4WUvYETgN-TLwGUv3EPjR1PjTkrjfY" \t "https://zhidao.baidu.com/question/_blank" </w:instrText>
      </w: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-SA"/>
        </w:rPr>
        <w:t>财政补助收入</w:t>
      </w: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-SA"/>
        </w:rPr>
        <w:instrText xml:space="preserve"> HYPERLINK "http://www.baidu.com/s?wd=%E4%B8%8A%E7%BA%A7%E8%A1%A5%E5%8A%A9%E6%94%B6%E5%85%A5&amp;tn=44039180_cpr&amp;fenlei=mv6quAkxTZn0IZRqIHckPjm4nH00T1d9rjbvuW7BrHb4PhfkmhmL0ZwV5Hcvrjm3rH6sPfKWUMw85HfYnjn4nH6sgvPsT6KdThsqpZwYTjCEQLGCpyw9Uz4Bmy-bIi4WUvYETgN-TLwGUv3EPjR1PjTkrjfY" \t "https://zhidao.baidu.com/question/_blank" </w:instrText>
      </w: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-SA"/>
        </w:rPr>
        <w:t>上级补助收入</w:t>
      </w: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-SA"/>
        </w:rPr>
        <w:t>、拨入专款、</w:t>
      </w: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-SA"/>
        </w:rPr>
        <w:instrText xml:space="preserve"> HYPERLINK "http://www.baidu.com/s?wd=%E4%BA%8B%E4%B8%9A%E6%94%B6%E5%85%A5&amp;tn=44039180_cpr&amp;fenlei=mv6quAkxTZn0IZRqIHckPjm4nH00T1d9rjbvuW7BrHb4PhfkmhmL0ZwV5Hcvrjm3rH6sPfKWUMw85HfYnjn4nH6sgvPsT6KdThsqpZwYTjCEQLGCpyw9Uz4Bmy-bIi4WUvYETgN-TLwGUv3EPjR1PjTkrjfY" \t "https://zhidao.baidu.com/question/_blank" </w:instrText>
      </w: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-SA"/>
        </w:rPr>
        <w:t>事业收入</w:t>
      </w: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-SA"/>
        </w:rPr>
        <w:t>、经费收入、附属单位缴款以外的各项收入。</w:t>
      </w:r>
    </w:p>
    <w:p>
      <w:pPr>
        <w:keepNext w:val="0"/>
        <w:keepLines w:val="0"/>
        <w:widowControl/>
        <w:suppressLineNumbers w:val="0"/>
        <w:spacing w:line="360" w:lineRule="atLeast"/>
        <w:ind w:left="0" w:right="0" w:firstLine="643" w:firstLineChars="200"/>
        <w:jc w:val="left"/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Calibri" w:hAnsi="Calibri" w:eastAsia="仿宋_GB2312" w:cs="Times New Roman"/>
          <w:b/>
          <w:bCs/>
          <w:sz w:val="32"/>
          <w:szCs w:val="32"/>
          <w:lang w:val="en-US" w:eastAsia="zh-CN"/>
        </w:rPr>
        <w:t>（四）基本支出：</w:t>
      </w:r>
      <w:r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  <w:t>指行政事业单位为保障其机构正常运转、完成日常工作任务而编制的年度基本支出计划，内容包括人员经费和日常公用经费两部分。</w:t>
      </w:r>
    </w:p>
    <w:p>
      <w:pPr>
        <w:keepNext w:val="0"/>
        <w:keepLines w:val="0"/>
        <w:widowControl/>
        <w:suppressLineNumbers w:val="0"/>
        <w:spacing w:line="360" w:lineRule="atLeast"/>
        <w:ind w:left="0" w:right="0" w:firstLine="643" w:firstLineChars="200"/>
        <w:jc w:val="left"/>
        <w:rPr>
          <w:rFonts w:hint="eastAsia" w:ascii="Calibri" w:hAnsi="Calibri" w:eastAsia="仿宋_GB2312" w:cs="Times New Roman"/>
          <w:sz w:val="32"/>
          <w:szCs w:val="32"/>
          <w:lang w:eastAsia="zh-CN"/>
        </w:rPr>
      </w:pPr>
      <w:r>
        <w:rPr>
          <w:rFonts w:hint="eastAsia" w:ascii="Calibri" w:hAnsi="Calibri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Calibri" w:hAnsi="Calibri" w:eastAsia="仿宋_GB2312" w:cs="Times New Roman"/>
          <w:b/>
          <w:bCs/>
          <w:sz w:val="32"/>
          <w:szCs w:val="32"/>
          <w:lang w:val="en-US" w:eastAsia="zh-CN"/>
        </w:rPr>
        <w:t>五）</w:t>
      </w:r>
      <w:r>
        <w:rPr>
          <w:rFonts w:ascii="Calibri" w:hAnsi="Calibri" w:eastAsia="仿宋_GB2312" w:cs="Times New Roman"/>
          <w:b/>
          <w:bCs/>
          <w:sz w:val="32"/>
          <w:szCs w:val="32"/>
        </w:rPr>
        <w:t>项目支出</w:t>
      </w:r>
      <w:r>
        <w:rPr>
          <w:rFonts w:hint="eastAsia" w:ascii="Calibri" w:hAnsi="Calibri" w:eastAsia="仿宋_GB2312" w:cs="Times New Roman"/>
          <w:b/>
          <w:bCs/>
          <w:sz w:val="32"/>
          <w:szCs w:val="32"/>
          <w:lang w:eastAsia="zh-CN"/>
        </w:rPr>
        <w:t>：</w:t>
      </w: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项目支出是指行政事业单位为完成特定的工作任务或事业发展目标，在基本的预算支出以外，财政预算专款安排的支出。</w:t>
      </w:r>
    </w:p>
    <w:p>
      <w:pPr>
        <w:keepNext w:val="0"/>
        <w:keepLines w:val="0"/>
        <w:widowControl/>
        <w:suppressLineNumbers w:val="0"/>
        <w:spacing w:line="360" w:lineRule="atLeast"/>
        <w:ind w:left="0" w:right="0" w:firstLine="643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Calibri" w:hAnsi="Calibri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Calibri" w:hAnsi="Calibri" w:eastAsia="仿宋_GB2312" w:cs="Times New Roman"/>
          <w:b/>
          <w:bCs/>
          <w:sz w:val="32"/>
          <w:szCs w:val="32"/>
          <w:lang w:val="en-US" w:eastAsia="zh-CN"/>
        </w:rPr>
        <w:t>六）</w:t>
      </w:r>
      <w:r>
        <w:rPr>
          <w:rFonts w:ascii="Calibri" w:hAnsi="Calibri" w:eastAsia="仿宋_GB2312" w:cs="Times New Roman"/>
          <w:b/>
          <w:bCs/>
          <w:sz w:val="32"/>
          <w:szCs w:val="32"/>
        </w:rPr>
        <w:t>年初结转和结余：</w:t>
      </w:r>
      <w:r>
        <w:rPr>
          <w:rFonts w:eastAsia="仿宋_GB2312"/>
          <w:color w:val="000000"/>
          <w:kern w:val="0"/>
          <w:sz w:val="32"/>
          <w:szCs w:val="32"/>
        </w:rPr>
        <w:t>指以前年度尚未完成、结转到本年仍按原规定用途继续使用的资金，或项目已完成等产生的结余资金。</w:t>
      </w:r>
    </w:p>
    <w:p>
      <w:pPr>
        <w:spacing w:line="584" w:lineRule="exact"/>
        <w:ind w:firstLine="643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Calibri" w:hAnsi="Calibri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Calibri" w:hAnsi="Calibri" w:eastAsia="仿宋_GB2312" w:cs="Times New Roman"/>
          <w:b/>
          <w:bCs/>
          <w:sz w:val="32"/>
          <w:szCs w:val="32"/>
          <w:lang w:val="en-US" w:eastAsia="zh-CN"/>
        </w:rPr>
        <w:t>七）</w:t>
      </w:r>
      <w:r>
        <w:rPr>
          <w:rFonts w:ascii="Calibri" w:hAnsi="Calibri" w:eastAsia="仿宋_GB2312" w:cs="Times New Roman"/>
          <w:b/>
          <w:bCs/>
          <w:sz w:val="32"/>
          <w:szCs w:val="32"/>
        </w:rPr>
        <w:t>“三公”经费：</w:t>
      </w:r>
      <w:r>
        <w:rPr>
          <w:rFonts w:eastAsia="仿宋_GB2312"/>
          <w:color w:val="000000"/>
          <w:kern w:val="0"/>
          <w:sz w:val="32"/>
          <w:szCs w:val="32"/>
        </w:rPr>
        <w:t>指部门用财政拨款安排的因公出国（境）费、公务用车购置及运行费和公务接待费。其中，因公出国（境）费反映单位公务出国（境）的国际旅费、国外城市间交通费、住宿费、伙食费、培训费、公杂费等支出；公务用车购置及运行费反映单位公务用车购置支出（含车辆购置税）及租用费、燃料费、维修费、过路过桥费、保险费、安全奖励费用等支出；公务接待费反映单位按规定开支的各类公务接待（含外宾接待）支出。</w:t>
      </w:r>
    </w:p>
    <w:p>
      <w:pPr>
        <w:keepNext w:val="0"/>
        <w:keepLines w:val="0"/>
        <w:widowControl/>
        <w:suppressLineNumbers w:val="0"/>
        <w:spacing w:line="360" w:lineRule="atLeast"/>
        <w:ind w:left="0" w:right="0" w:firstLine="643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Calibri" w:hAnsi="Calibri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Calibri" w:hAnsi="Calibri" w:eastAsia="仿宋_GB2312" w:cs="Times New Roman"/>
          <w:b/>
          <w:bCs/>
          <w:sz w:val="32"/>
          <w:szCs w:val="32"/>
          <w:lang w:val="en-US" w:eastAsia="zh-CN"/>
        </w:rPr>
        <w:t>八）</w:t>
      </w:r>
      <w:r>
        <w:rPr>
          <w:rFonts w:ascii="Calibri" w:hAnsi="Calibri" w:eastAsia="仿宋_GB2312" w:cs="Times New Roman"/>
          <w:b/>
          <w:bCs/>
          <w:sz w:val="32"/>
          <w:szCs w:val="32"/>
        </w:rPr>
        <w:t>其他交通费用：</w:t>
      </w:r>
      <w:r>
        <w:rPr>
          <w:rFonts w:eastAsia="仿宋_GB2312"/>
          <w:color w:val="000000"/>
          <w:kern w:val="0"/>
          <w:sz w:val="32"/>
          <w:szCs w:val="32"/>
        </w:rPr>
        <w:t>填列单位除公务用车运行维护费以外的其他交通费用。如飞机、船舶等的燃料费、维修费、过桥过路费、保险费、出租车费用、公务交通补贴等。</w:t>
      </w:r>
    </w:p>
    <w:p>
      <w:pPr>
        <w:keepNext w:val="0"/>
        <w:keepLines w:val="0"/>
        <w:widowControl/>
        <w:suppressLineNumbers w:val="0"/>
        <w:spacing w:line="360" w:lineRule="atLeast"/>
        <w:ind w:left="0" w:right="0" w:firstLine="643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Calibri" w:hAnsi="Calibri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Calibri" w:hAnsi="Calibri" w:eastAsia="仿宋_GB2312" w:cs="Times New Roman"/>
          <w:b/>
          <w:bCs/>
          <w:sz w:val="32"/>
          <w:szCs w:val="32"/>
          <w:lang w:val="en-US" w:eastAsia="zh-CN"/>
        </w:rPr>
        <w:t>九）</w:t>
      </w:r>
      <w:r>
        <w:rPr>
          <w:rFonts w:ascii="Calibri" w:hAnsi="Calibri" w:eastAsia="仿宋_GB2312" w:cs="Times New Roman"/>
          <w:b/>
          <w:bCs/>
          <w:sz w:val="32"/>
          <w:szCs w:val="32"/>
        </w:rPr>
        <w:t>公务用车购置：</w:t>
      </w:r>
      <w:r>
        <w:rPr>
          <w:rFonts w:eastAsia="仿宋_GB2312"/>
          <w:color w:val="000000"/>
          <w:kern w:val="0"/>
          <w:sz w:val="32"/>
          <w:szCs w:val="32"/>
        </w:rPr>
        <w:t>填列单位公务用车车辆购置支出（含车辆购置税）。</w:t>
      </w:r>
    </w:p>
    <w:p>
      <w:pPr>
        <w:keepNext w:val="0"/>
        <w:keepLines w:val="0"/>
        <w:widowControl/>
        <w:suppressLineNumbers w:val="0"/>
        <w:spacing w:line="360" w:lineRule="atLeast"/>
        <w:ind w:left="0" w:right="0" w:firstLine="640" w:firstLineChars="200"/>
        <w:jc w:val="left"/>
        <w:rPr>
          <w:rFonts w:hint="eastAsia" w:eastAsia="仿宋_GB2312"/>
          <w:color w:val="000000"/>
          <w:kern w:val="0"/>
          <w:sz w:val="32"/>
          <w:szCs w:val="32"/>
          <w:lang w:eastAsia="zh-CN"/>
        </w:rPr>
      </w:pPr>
    </w:p>
    <w:p>
      <w:pPr>
        <w:jc w:val="right"/>
        <w:rPr>
          <w:rFonts w:hint="eastAsia" w:ascii="仿宋_GB2312" w:hAnsi="黑体" w:eastAsia="仿宋_GB2312" w:cs="Times New Roman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黑体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 xml:space="preserve">                                               </w:t>
      </w:r>
      <w:r>
        <w:rPr>
          <w:rFonts w:hint="eastAsia" w:ascii="仿宋_GB2312" w:hAnsi="黑体" w:eastAsia="仿宋_GB2312" w:cs="Times New Roman"/>
          <w:sz w:val="32"/>
          <w:szCs w:val="32"/>
          <w:lang w:eastAsia="zh-CN"/>
        </w:rPr>
        <w:t>大城县残疾人联合会</w:t>
      </w:r>
    </w:p>
    <w:p>
      <w:pPr>
        <w:jc w:val="center"/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 xml:space="preserve">                                             2018年11月5日</w:t>
      </w:r>
    </w:p>
    <w:sectPr>
      <w:footerReference r:id="rId3" w:type="default"/>
      <w:pgSz w:w="16838" w:h="11906" w:orient="landscape"/>
      <w:pgMar w:top="1123" w:right="1043" w:bottom="1123" w:left="1043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3280DD"/>
    <w:multiLevelType w:val="multilevel"/>
    <w:tmpl w:val="7C3280DD"/>
    <w:lvl w:ilvl="0" w:tentative="0">
      <w:start w:val="1"/>
      <w:numFmt w:val="decimal"/>
      <w:lvlText w:val="%1."/>
      <w:lvlJc w:val="left"/>
      <w:pPr>
        <w:tabs>
          <w:tab w:val="left" w:pos="1001"/>
        </w:tabs>
        <w:ind w:left="1001" w:hanging="360"/>
      </w:pPr>
    </w:lvl>
    <w:lvl w:ilvl="1" w:tentative="0">
      <w:start w:val="1"/>
      <w:numFmt w:val="lowerLetter"/>
      <w:lvlText w:val="%2)"/>
      <w:lvlJc w:val="left"/>
      <w:pPr>
        <w:tabs>
          <w:tab w:val="left" w:pos="1481"/>
        </w:tabs>
        <w:ind w:left="148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01"/>
        </w:tabs>
        <w:ind w:left="1901" w:hanging="420"/>
      </w:pPr>
    </w:lvl>
    <w:lvl w:ilvl="3" w:tentative="0">
      <w:start w:val="1"/>
      <w:numFmt w:val="decimal"/>
      <w:lvlText w:val="%4."/>
      <w:lvlJc w:val="left"/>
      <w:pPr>
        <w:tabs>
          <w:tab w:val="left" w:pos="2321"/>
        </w:tabs>
        <w:ind w:left="232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41"/>
        </w:tabs>
        <w:ind w:left="274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61"/>
        </w:tabs>
        <w:ind w:left="3161" w:hanging="420"/>
      </w:pPr>
    </w:lvl>
    <w:lvl w:ilvl="6" w:tentative="0">
      <w:start w:val="1"/>
      <w:numFmt w:val="decimal"/>
      <w:lvlText w:val="%7."/>
      <w:lvlJc w:val="left"/>
      <w:pPr>
        <w:tabs>
          <w:tab w:val="left" w:pos="3581"/>
        </w:tabs>
        <w:ind w:left="358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01"/>
        </w:tabs>
        <w:ind w:left="400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21"/>
        </w:tabs>
        <w:ind w:left="4421" w:hanging="420"/>
      </w:pPr>
    </w:lvl>
  </w:abstractNum>
  <w:abstractNum w:abstractNumId="1">
    <w:nsid w:val="7E8BF1E4"/>
    <w:multiLevelType w:val="singleLevel"/>
    <w:tmpl w:val="7E8BF1E4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lMDJkMWY0NzMwOTMyNjM3YWM1MjE4YWZjMjliZmIifQ=="/>
  </w:docVars>
  <w:rsids>
    <w:rsidRoot w:val="00413287"/>
    <w:rsid w:val="003739BA"/>
    <w:rsid w:val="00413287"/>
    <w:rsid w:val="005817C9"/>
    <w:rsid w:val="019B34A1"/>
    <w:rsid w:val="028E13C2"/>
    <w:rsid w:val="05082ED0"/>
    <w:rsid w:val="0B634118"/>
    <w:rsid w:val="10BF5691"/>
    <w:rsid w:val="130D37E5"/>
    <w:rsid w:val="15E45E6A"/>
    <w:rsid w:val="22642FAA"/>
    <w:rsid w:val="243F482E"/>
    <w:rsid w:val="249F060D"/>
    <w:rsid w:val="296E39E6"/>
    <w:rsid w:val="2A21787E"/>
    <w:rsid w:val="2C34435F"/>
    <w:rsid w:val="2C5C6253"/>
    <w:rsid w:val="2C9F7F2A"/>
    <w:rsid w:val="30591EE1"/>
    <w:rsid w:val="39C415F0"/>
    <w:rsid w:val="3C33395E"/>
    <w:rsid w:val="3C4C1719"/>
    <w:rsid w:val="3C6E6D1E"/>
    <w:rsid w:val="3F5412CC"/>
    <w:rsid w:val="4AF068EF"/>
    <w:rsid w:val="4DA77244"/>
    <w:rsid w:val="54B409B4"/>
    <w:rsid w:val="55A53F36"/>
    <w:rsid w:val="58430E82"/>
    <w:rsid w:val="5A2B2065"/>
    <w:rsid w:val="63650DA4"/>
    <w:rsid w:val="647F72AE"/>
    <w:rsid w:val="65C30CDE"/>
    <w:rsid w:val="66982286"/>
    <w:rsid w:val="69A2518C"/>
    <w:rsid w:val="6BF60429"/>
    <w:rsid w:val="6E013EE8"/>
    <w:rsid w:val="6ECE61ED"/>
    <w:rsid w:val="703A6BDB"/>
    <w:rsid w:val="70CA5EDA"/>
    <w:rsid w:val="7158738C"/>
    <w:rsid w:val="764D6B2F"/>
    <w:rsid w:val="77B33C98"/>
    <w:rsid w:val="7B7546BF"/>
    <w:rsid w:val="7E176C69"/>
    <w:rsid w:val="7FB9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qFormat="1" w:uiPriority="99" w:semiHidden="0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jc w:val="left"/>
    </w:pPr>
    <w:rPr>
      <w:rFonts w:hint="default" w:ascii="PingFang SC" w:hAnsi="PingFang SC" w:eastAsia="PingFang SC" w:cs="PingFang SC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character" w:styleId="9">
    <w:name w:val="FollowedHyperlink"/>
    <w:basedOn w:val="8"/>
    <w:unhideWhenUsed/>
    <w:qFormat/>
    <w:uiPriority w:val="99"/>
    <w:rPr>
      <w:color w:val="3F88BF"/>
      <w:u w:val="none"/>
    </w:rPr>
  </w:style>
  <w:style w:type="character" w:styleId="10">
    <w:name w:val="Emphasis"/>
    <w:basedOn w:val="8"/>
    <w:qFormat/>
    <w:uiPriority w:val="20"/>
  </w:style>
  <w:style w:type="character" w:styleId="11">
    <w:name w:val="HTML Definition"/>
    <w:basedOn w:val="8"/>
    <w:unhideWhenUsed/>
    <w:qFormat/>
    <w:uiPriority w:val="99"/>
  </w:style>
  <w:style w:type="character" w:styleId="12">
    <w:name w:val="HTML Variable"/>
    <w:basedOn w:val="8"/>
    <w:unhideWhenUsed/>
    <w:qFormat/>
    <w:uiPriority w:val="99"/>
  </w:style>
  <w:style w:type="character" w:styleId="13">
    <w:name w:val="Hyperlink"/>
    <w:basedOn w:val="8"/>
    <w:unhideWhenUsed/>
    <w:qFormat/>
    <w:uiPriority w:val="99"/>
    <w:rPr>
      <w:color w:val="3F88BF"/>
      <w:u w:val="none"/>
    </w:rPr>
  </w:style>
  <w:style w:type="character" w:styleId="14">
    <w:name w:val="HTML Code"/>
    <w:basedOn w:val="8"/>
    <w:unhideWhenUsed/>
    <w:qFormat/>
    <w:uiPriority w:val="99"/>
    <w:rPr>
      <w:rFonts w:hint="default" w:ascii="PingFang SC" w:hAnsi="PingFang SC" w:eastAsia="PingFang SC" w:cs="PingFang SC"/>
      <w:sz w:val="20"/>
    </w:rPr>
  </w:style>
  <w:style w:type="character" w:styleId="15">
    <w:name w:val="HTML Cite"/>
    <w:basedOn w:val="8"/>
    <w:unhideWhenUsed/>
    <w:qFormat/>
    <w:uiPriority w:val="99"/>
  </w:style>
  <w:style w:type="character" w:styleId="16">
    <w:name w:val="HTML Keyboard"/>
    <w:basedOn w:val="8"/>
    <w:unhideWhenUsed/>
    <w:qFormat/>
    <w:uiPriority w:val="99"/>
    <w:rPr>
      <w:rFonts w:hint="default" w:ascii="PingFang SC" w:hAnsi="PingFang SC" w:eastAsia="PingFang SC" w:cs="PingFang SC"/>
      <w:sz w:val="20"/>
    </w:rPr>
  </w:style>
  <w:style w:type="character" w:styleId="17">
    <w:name w:val="HTML Sample"/>
    <w:basedOn w:val="8"/>
    <w:unhideWhenUsed/>
    <w:qFormat/>
    <w:uiPriority w:val="99"/>
    <w:rPr>
      <w:rFonts w:hint="eastAsia" w:ascii="PingFang SC" w:hAnsi="PingFang SC" w:eastAsia="PingFang SC" w:cs="PingFang SC"/>
    </w:rPr>
  </w:style>
  <w:style w:type="character" w:customStyle="1" w:styleId="18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20">
    <w:name w:val="num"/>
    <w:basedOn w:val="8"/>
    <w:qFormat/>
    <w:uiPriority w:val="0"/>
    <w:rPr>
      <w:b/>
      <w:color w:val="FF7800"/>
    </w:rPr>
  </w:style>
  <w:style w:type="character" w:customStyle="1" w:styleId="21">
    <w:name w:val="answer-title12"/>
    <w:basedOn w:val="8"/>
    <w:qFormat/>
    <w:uiPriority w:val="0"/>
  </w:style>
  <w:style w:type="character" w:customStyle="1" w:styleId="22">
    <w:name w:val="release-day"/>
    <w:basedOn w:val="8"/>
    <w:qFormat/>
    <w:uiPriority w:val="0"/>
    <w:rPr>
      <w:bdr w:val="single" w:color="BDEBB0" w:sz="6" w:space="0"/>
      <w:shd w:val="clear" w:fill="F5FFF1"/>
    </w:rPr>
  </w:style>
  <w:style w:type="character" w:customStyle="1" w:styleId="23">
    <w:name w:val="keyword-span-wrap"/>
    <w:basedOn w:val="8"/>
    <w:qFormat/>
    <w:uiPriority w:val="0"/>
    <w:rPr>
      <w:color w:val="19A97B"/>
    </w:rPr>
  </w:style>
  <w:style w:type="character" w:customStyle="1" w:styleId="24">
    <w:name w:val="font31"/>
    <w:basedOn w:val="8"/>
    <w:qFormat/>
    <w:uiPriority w:val="0"/>
    <w:rPr>
      <w:rFonts w:hint="default" w:ascii="方正书宋_GBK" w:hAnsi="方正书宋_GBK" w:eastAsia="方正书宋_GBK" w:cs="方正书宋_GBK"/>
      <w:b/>
      <w:color w:val="000000"/>
      <w:sz w:val="21"/>
      <w:szCs w:val="21"/>
      <w:u w:val="none"/>
    </w:rPr>
  </w:style>
  <w:style w:type="character" w:customStyle="1" w:styleId="25">
    <w:name w:val="font11"/>
    <w:basedOn w:val="8"/>
    <w:qFormat/>
    <w:uiPriority w:val="0"/>
    <w:rPr>
      <w:rFonts w:hint="default" w:ascii="方正书宋_GBK" w:hAnsi="方正书宋_GBK" w:eastAsia="方正书宋_GBK" w:cs="方正书宋_GBK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7</Pages>
  <Words>240</Words>
  <Characters>1371</Characters>
  <Lines>11</Lines>
  <Paragraphs>3</Paragraphs>
  <TotalTime>21</TotalTime>
  <ScaleCrop>false</ScaleCrop>
  <LinksUpToDate>false</LinksUpToDate>
  <CharactersWithSpaces>1608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2017-10-27T05:54:00Z</dcterms:created>
  <dc:creator>USER-</dc:creator>
  <cp:lastModifiedBy>wweijun88</cp:lastModifiedBy>
  <cp:lastPrinted>2019-03-04T01:14:00Z</cp:lastPrinted>
  <dcterms:modified xsi:type="dcterms:W3CDTF">2024-01-18T07:03:47Z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F3C8AD7758434DBEA56D227F5E26A22A_12</vt:lpwstr>
  </property>
</Properties>
</file>