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72"/>
          <w:szCs w:val="72"/>
        </w:rPr>
      </w:pPr>
      <w:r>
        <w:rPr>
          <w:sz w:val="72"/>
          <w:szCs w:val="72"/>
        </w:rPr>
        <w:t>2018</w:t>
      </w:r>
      <w:r>
        <w:rPr>
          <w:rFonts w:hint="eastAsia"/>
          <w:sz w:val="72"/>
          <w:szCs w:val="72"/>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spacing w:after="0" w:line="240" w:lineRule="auto"/>
        <w:jc w:val="center"/>
        <w:rPr>
          <w:rFonts w:ascii="楷体" w:eastAsia="楷体" w:cs="楷体"/>
          <w:b/>
          <w:sz w:val="44"/>
          <w:szCs w:val="44"/>
        </w:rPr>
      </w:pPr>
      <w:r>
        <w:rPr>
          <w:rFonts w:hint="eastAsia" w:ascii="楷体" w:hAnsi="楷体" w:cs="楷体"/>
          <w:b/>
          <w:sz w:val="44"/>
          <w:szCs w:val="44"/>
        </w:rPr>
        <w:t>中共河北省大城县委办公室</w:t>
      </w:r>
    </w:p>
    <w:p>
      <w:pPr>
        <w:widowControl/>
        <w:spacing w:after="0" w:line="240" w:lineRule="auto"/>
        <w:jc w:val="left"/>
        <w:rPr>
          <w:rFonts w:ascii="楷体" w:eastAsia="楷体" w:cs="楷体"/>
          <w:b/>
          <w:kern w:val="0"/>
          <w:sz w:val="44"/>
          <w:szCs w:val="44"/>
        </w:rPr>
        <w:sectPr>
          <w:pgSz w:w="11906" w:h="16838"/>
          <w:pgMar w:top="1588" w:right="2098" w:bottom="1474" w:left="1588" w:header="851" w:footer="992" w:gutter="0"/>
          <w:cols w:space="720" w:num="1"/>
          <w:docGrid w:type="lines" w:linePitch="312" w:charSpace="0"/>
        </w:sectPr>
      </w:pP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中共河北省大城县委办公室</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kern w:val="0"/>
        </w:rPr>
        <w:br w:type="page"/>
      </w:r>
    </w:p>
    <w:p/>
    <w:p/>
    <w:p/>
    <w:p/>
    <w:p>
      <w:pPr>
        <w:widowControl/>
        <w:jc w:val="center"/>
        <w:rPr>
          <w:rFonts w:ascii="黑体" w:eastAsia="黑体"/>
          <w:color w:val="000000"/>
          <w:sz w:val="72"/>
          <w:szCs w:val="72"/>
        </w:rPr>
      </w:pPr>
    </w:p>
    <w:p>
      <w:pPr>
        <w:widowControl/>
        <w:jc w:val="center"/>
        <w:rPr>
          <w:rFonts w:ascii="黑体" w:eastAsia="黑体"/>
          <w:color w:val="000000"/>
          <w:sz w:val="72"/>
          <w:szCs w:val="72"/>
        </w:rPr>
      </w:pPr>
    </w:p>
    <w:p>
      <w:pPr>
        <w:widowControl/>
        <w:jc w:val="center"/>
        <w:rPr>
          <w:rFonts w:ascii="黑体" w:eastAsia="黑体"/>
          <w:color w:val="000000"/>
          <w:sz w:val="72"/>
          <w:szCs w:val="72"/>
        </w:rPr>
      </w:pPr>
    </w:p>
    <w:p>
      <w:pPr>
        <w:widowControl/>
        <w:jc w:val="center"/>
        <w:rPr>
          <w:color w:val="000000"/>
          <w:sz w:val="72"/>
          <w:szCs w:val="72"/>
        </w:rPr>
      </w:pPr>
      <w:r>
        <w:rPr>
          <w:rFonts w:hint="eastAsia" w:ascii="黑体" w:eastAsia="黑体"/>
          <w:color w:val="000000"/>
          <w:sz w:val="72"/>
          <w:szCs w:val="72"/>
        </w:rPr>
        <w:t>第一部分</w:t>
      </w:r>
      <w:r>
        <w:rPr>
          <w:rFonts w:ascii="黑体" w:eastAsia="黑体"/>
          <w:color w:val="000000"/>
          <w:sz w:val="72"/>
          <w:szCs w:val="72"/>
        </w:rPr>
        <w:t xml:space="preserve">  </w:t>
      </w:r>
      <w:r>
        <w:rPr>
          <w:rFonts w:hint="eastAsia" w:ascii="黑体" w:eastAsia="黑体"/>
          <w:color w:val="000000"/>
          <w:sz w:val="72"/>
          <w:szCs w:val="72"/>
        </w:rPr>
        <w:t>部门概况</w:t>
      </w:r>
    </w:p>
    <w:p/>
    <w:p/>
    <w:p/>
    <w:p/>
    <w:p/>
    <w:p/>
    <w:p/>
    <w:p/>
    <w:p>
      <w:pPr>
        <w:numPr>
          <w:ilvl w:val="0"/>
          <w:numId w:val="1"/>
        </w:numPr>
        <w:ind w:firstLine="640" w:firstLineChars="200"/>
        <w:rPr>
          <w:rFonts w:ascii="黑体" w:eastAsia="黑体" w:cs="黑体"/>
          <w:kern w:val="0"/>
          <w:sz w:val="32"/>
          <w:szCs w:val="32"/>
        </w:rPr>
      </w:pPr>
      <w:r>
        <w:rPr>
          <w:rFonts w:hint="eastAsia" w:ascii="黑体" w:eastAsia="黑体" w:cs="黑体"/>
          <w:kern w:val="0"/>
          <w:sz w:val="32"/>
          <w:szCs w:val="32"/>
        </w:rPr>
        <w:t>部门职责</w:t>
      </w:r>
    </w:p>
    <w:p>
      <w:pPr>
        <w:ind w:firstLine="640" w:firstLineChars="200"/>
        <w:rPr>
          <w:rFonts w:ascii="??_GB2312" w:hAnsi="??_GB2312" w:cs="??_GB2312"/>
          <w:bCs/>
          <w:sz w:val="32"/>
          <w:szCs w:val="32"/>
        </w:rPr>
      </w:pPr>
      <w:r>
        <w:rPr>
          <w:rFonts w:hint="eastAsia" w:ascii="宋体" w:hAnsi="宋体" w:cs="宋体"/>
          <w:bCs/>
          <w:sz w:val="32"/>
          <w:szCs w:val="32"/>
        </w:rPr>
        <w:t>大城县委办公室主要职责是县委文件的上报下达、文件传阅，信息反馈、编发，搞好调查调研，为领导决策提供依据。</w:t>
      </w:r>
    </w:p>
    <w:p>
      <w:pPr>
        <w:ind w:firstLine="64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ind w:firstLine="64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、围绕中央和省、市、县委总体工作部署开展综合、专题调研、收集和处理信息、反馈动态。</w:t>
      </w:r>
    </w:p>
    <w:p>
      <w:pPr>
        <w:ind w:firstLine="640" w:firstLineChars="200"/>
        <w:rPr>
          <w:rFonts w:ascii="宋体" w:cs="仿宋_GB2312"/>
          <w:sz w:val="32"/>
          <w:szCs w:val="32"/>
        </w:rPr>
      </w:pPr>
      <w:r>
        <w:rPr>
          <w:rFonts w:ascii="宋体" w:hAnsi="宋体" w:cs="仿宋_GB2312"/>
          <w:sz w:val="32"/>
          <w:szCs w:val="32"/>
        </w:rPr>
        <w:t>3</w:t>
      </w:r>
      <w:r>
        <w:rPr>
          <w:rFonts w:hint="eastAsia" w:ascii="宋体" w:hAnsi="宋体" w:cs="仿宋_GB2312"/>
          <w:sz w:val="32"/>
          <w:szCs w:val="32"/>
        </w:rPr>
        <w:t>、承担中央和省、市、县委重要工作部署贯彻落实的督促检查，负责中央和省、市、县委领导同志批示件的转达和催办落实。</w:t>
      </w:r>
    </w:p>
    <w:p>
      <w:pPr>
        <w:ind w:firstLine="640" w:firstLineChars="200"/>
        <w:rPr>
          <w:rFonts w:ascii="宋体" w:cs="仿宋_GB2312"/>
          <w:sz w:val="32"/>
          <w:szCs w:val="32"/>
        </w:rPr>
      </w:pPr>
      <w:r>
        <w:rPr>
          <w:rFonts w:ascii="宋体" w:hAnsi="宋体" w:cs="仿宋_GB2312"/>
          <w:sz w:val="32"/>
          <w:szCs w:val="32"/>
        </w:rPr>
        <w:t>4</w:t>
      </w:r>
      <w:r>
        <w:rPr>
          <w:rFonts w:hint="eastAsia" w:ascii="宋体" w:hAnsi="宋体" w:cs="仿宋_GB2312"/>
          <w:sz w:val="32"/>
          <w:szCs w:val="32"/>
        </w:rPr>
        <w:t>、负责县委日常文书处理和值班工作，以及各种会议的会务工作和县委日常工作活动的组织安排。</w:t>
      </w:r>
    </w:p>
    <w:p>
      <w:pPr>
        <w:ind w:firstLine="640" w:firstLineChars="200"/>
        <w:rPr>
          <w:rFonts w:ascii="宋体" w:cs="仿宋_GB2312"/>
          <w:sz w:val="32"/>
          <w:szCs w:val="32"/>
        </w:rPr>
      </w:pPr>
      <w:r>
        <w:rPr>
          <w:rFonts w:ascii="宋体" w:hAnsi="宋体" w:cs="仿宋_GB2312"/>
          <w:sz w:val="32"/>
          <w:szCs w:val="32"/>
        </w:rPr>
        <w:t>5</w:t>
      </w:r>
      <w:r>
        <w:rPr>
          <w:rFonts w:hint="eastAsia" w:ascii="宋体" w:hAnsi="宋体" w:cs="仿宋_GB2312"/>
          <w:sz w:val="32"/>
          <w:szCs w:val="32"/>
        </w:rPr>
        <w:t>、承担县委保密委员会办公室的日常工作。</w:t>
      </w:r>
    </w:p>
    <w:p>
      <w:pPr>
        <w:ind w:firstLine="640" w:firstLineChars="200"/>
        <w:rPr>
          <w:rFonts w:ascii="宋体" w:cs="仿宋_GB2312"/>
          <w:sz w:val="32"/>
          <w:szCs w:val="32"/>
        </w:rPr>
      </w:pPr>
      <w:r>
        <w:rPr>
          <w:rFonts w:ascii="宋体" w:hAnsi="宋体" w:cs="仿宋_GB2312"/>
          <w:sz w:val="32"/>
          <w:szCs w:val="32"/>
        </w:rPr>
        <w:t>6</w:t>
      </w:r>
      <w:r>
        <w:rPr>
          <w:rFonts w:hint="eastAsia" w:ascii="宋体" w:hAnsi="宋体" w:cs="仿宋_GB2312"/>
          <w:sz w:val="32"/>
          <w:szCs w:val="32"/>
        </w:rPr>
        <w:t>、承担</w:t>
      </w:r>
      <w:r>
        <w:rPr>
          <w:rFonts w:ascii="宋体" w:hAnsi="宋体" w:cs="仿宋_GB2312"/>
          <w:sz w:val="32"/>
          <w:szCs w:val="32"/>
        </w:rPr>
        <w:t>610</w:t>
      </w:r>
      <w:r>
        <w:rPr>
          <w:rFonts w:hint="eastAsia" w:ascii="宋体" w:hAnsi="宋体" w:cs="仿宋_GB2312"/>
          <w:sz w:val="32"/>
          <w:szCs w:val="32"/>
        </w:rPr>
        <w:t>办公室的日常工作。</w:t>
      </w:r>
    </w:p>
    <w:p>
      <w:pPr>
        <w:ind w:firstLine="640" w:firstLineChars="200"/>
        <w:rPr>
          <w:rFonts w:ascii="宋体" w:cs="仿宋_GB2312"/>
          <w:sz w:val="32"/>
          <w:szCs w:val="32"/>
        </w:rPr>
      </w:pPr>
      <w:r>
        <w:rPr>
          <w:rFonts w:ascii="宋体" w:hAnsi="宋体" w:cs="仿宋_GB2312"/>
          <w:sz w:val="32"/>
          <w:szCs w:val="32"/>
        </w:rPr>
        <w:t>7</w:t>
      </w:r>
      <w:r>
        <w:rPr>
          <w:rFonts w:hint="eastAsia" w:ascii="宋体" w:hAnsi="宋体" w:cs="仿宋_GB2312"/>
          <w:sz w:val="32"/>
          <w:szCs w:val="32"/>
        </w:rPr>
        <w:t>、按照县委、县政府有关规定，管理县委、县政府信访局。</w:t>
      </w:r>
    </w:p>
    <w:p>
      <w:pPr>
        <w:ind w:firstLine="640" w:firstLineChars="200"/>
        <w:rPr>
          <w:rFonts w:ascii="宋体" w:cs="仿宋_GB2312"/>
          <w:sz w:val="32"/>
          <w:szCs w:val="32"/>
        </w:rPr>
      </w:pPr>
      <w:r>
        <w:rPr>
          <w:rFonts w:ascii="宋体" w:hAnsi="宋体" w:cs="仿宋_GB2312"/>
          <w:sz w:val="32"/>
          <w:szCs w:val="32"/>
        </w:rPr>
        <w:t>8</w:t>
      </w:r>
      <w:r>
        <w:rPr>
          <w:rFonts w:hint="eastAsia" w:ascii="宋体" w:hAnsi="宋体" w:cs="仿宋_GB2312"/>
          <w:sz w:val="32"/>
          <w:szCs w:val="32"/>
        </w:rPr>
        <w:t>、负责县委领导同志和部分原县级领导同志以及本室离退休同志的生活服务和阅文、参加有关活动的事务服务工作。</w:t>
      </w:r>
    </w:p>
    <w:p>
      <w:pPr>
        <w:ind w:firstLine="640" w:firstLineChars="200"/>
        <w:rPr>
          <w:rFonts w:ascii="宋体" w:cs="仿宋_GB2312"/>
          <w:sz w:val="32"/>
          <w:szCs w:val="32"/>
        </w:rPr>
      </w:pPr>
      <w:r>
        <w:rPr>
          <w:rFonts w:ascii="宋体" w:hAnsi="宋体" w:cs="仿宋_GB2312"/>
          <w:sz w:val="32"/>
          <w:szCs w:val="32"/>
        </w:rPr>
        <w:t>9</w:t>
      </w:r>
      <w:r>
        <w:rPr>
          <w:rFonts w:hint="eastAsia" w:ascii="宋体" w:hAnsi="宋体" w:cs="仿宋_GB2312"/>
          <w:sz w:val="32"/>
          <w:szCs w:val="32"/>
        </w:rPr>
        <w:t>、负责县委机关房产、基建、维修、物资分配和其他行政事务工作，负责管理县委机关的经费预算决算、经费拨款和财务审计。</w:t>
      </w:r>
    </w:p>
    <w:p>
      <w:pPr>
        <w:ind w:firstLine="640" w:firstLineChars="200"/>
        <w:rPr>
          <w:rFonts w:ascii="宋体" w:cs="仿宋_GB2312"/>
          <w:sz w:val="32"/>
          <w:szCs w:val="32"/>
        </w:rPr>
      </w:pPr>
      <w:r>
        <w:rPr>
          <w:rFonts w:ascii="宋体" w:hAnsi="宋体" w:cs="仿宋_GB2312"/>
          <w:sz w:val="32"/>
          <w:szCs w:val="32"/>
        </w:rPr>
        <w:t>10</w:t>
      </w:r>
      <w:r>
        <w:rPr>
          <w:rFonts w:hint="eastAsia" w:ascii="宋体" w:hAnsi="宋体" w:cs="仿宋_GB2312"/>
          <w:sz w:val="32"/>
          <w:szCs w:val="32"/>
        </w:rPr>
        <w:t>、负责上级党委领导、兄弟省、市、县党委领导同志以及办公室系统来客的接待服务工作，负责县委领导交办的其他接待任务。</w:t>
      </w:r>
    </w:p>
    <w:p>
      <w:pPr>
        <w:ind w:firstLine="640" w:firstLineChars="200"/>
        <w:rPr>
          <w:rFonts w:ascii="宋体" w:cs="仿宋_GB2312"/>
          <w:sz w:val="32"/>
          <w:szCs w:val="32"/>
        </w:rPr>
      </w:pPr>
      <w:r>
        <w:rPr>
          <w:rFonts w:ascii="宋体" w:hAnsi="宋体" w:cs="仿宋_GB2312"/>
          <w:sz w:val="32"/>
          <w:szCs w:val="32"/>
        </w:rPr>
        <w:t>11</w:t>
      </w:r>
      <w:r>
        <w:rPr>
          <w:rFonts w:hint="eastAsia" w:ascii="宋体" w:hAnsi="宋体" w:cs="仿宋_GB2312"/>
          <w:sz w:val="32"/>
          <w:szCs w:val="32"/>
        </w:rPr>
        <w:t>、负责本室的人事管理和党务工作；指导县委机关的党建工作；负责县委机关的精神文明建设和安全保卫工作。</w:t>
      </w:r>
    </w:p>
    <w:p>
      <w:pPr>
        <w:ind w:firstLine="640" w:firstLineChars="200"/>
        <w:rPr>
          <w:rFonts w:ascii="宋体" w:cs="仿宋_GB2312"/>
          <w:sz w:val="32"/>
          <w:szCs w:val="32"/>
        </w:rPr>
      </w:pPr>
      <w:r>
        <w:rPr>
          <w:rFonts w:ascii="宋体" w:hAnsi="宋体" w:cs="仿宋_GB2312"/>
          <w:sz w:val="32"/>
          <w:szCs w:val="32"/>
        </w:rPr>
        <w:t>12</w:t>
      </w:r>
      <w:r>
        <w:rPr>
          <w:rFonts w:hint="eastAsia" w:ascii="宋体" w:hAnsi="宋体" w:cs="仿宋_GB2312"/>
          <w:sz w:val="32"/>
          <w:szCs w:val="32"/>
        </w:rPr>
        <w:t>、完成县委领导交办的其他任务。</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hint="eastAsia" w:eastAsia="方正小标宋_GBK"/>
          <w:sz w:val="32"/>
        </w:rPr>
      </w:pPr>
      <w:r>
        <w:rPr>
          <w:rFonts w:hint="eastAsia" w:ascii="仿宋_GB2312" w:eastAsia="仿宋_GB2312" w:cs="ArialUnicodeMS"/>
          <w:kern w:val="0"/>
          <w:sz w:val="32"/>
          <w:szCs w:val="32"/>
        </w:rPr>
        <w:t>从决算编报单位构成看，纳入</w:t>
      </w:r>
      <w:r>
        <w:rPr>
          <w:rFonts w:ascii="仿宋_GB2312" w:eastAsia="仿宋_GB2312" w:cs="ArialUnicodeMS"/>
          <w:kern w:val="0"/>
          <w:sz w:val="32"/>
          <w:szCs w:val="32"/>
        </w:rPr>
        <w:t xml:space="preserve">2018 </w:t>
      </w:r>
      <w:r>
        <w:rPr>
          <w:rFonts w:hint="eastAsia" w:ascii="仿宋_GB2312" w:eastAsia="仿宋_GB2312" w:cs="ArialUnicodeMS"/>
          <w:kern w:val="0"/>
          <w:sz w:val="32"/>
          <w:szCs w:val="32"/>
        </w:rPr>
        <w:t>年度本部门决算汇编范围的独立核算单位（以下简称“单位”）共</w:t>
      </w:r>
      <w:r>
        <w:rPr>
          <w:rFonts w:ascii="仿宋_GB2312" w:eastAsia="仿宋_GB2312" w:cs="ArialUnicodeMS"/>
          <w:kern w:val="0"/>
          <w:sz w:val="32"/>
          <w:szCs w:val="32"/>
        </w:rPr>
        <w:t>1</w:t>
      </w:r>
      <w:r>
        <w:rPr>
          <w:rFonts w:hint="eastAsia" w:ascii="仿宋_GB2312" w:eastAsia="仿宋_GB2312" w:cs="ArialUnicodeMS"/>
          <w:kern w:val="0"/>
          <w:sz w:val="32"/>
          <w:szCs w:val="32"/>
        </w:rPr>
        <w:t>个，具体情况如下：</w:t>
      </w:r>
    </w:p>
    <w:p>
      <w:pPr>
        <w:jc w:val="center"/>
        <w:outlineLvl w:val="0"/>
        <w:rPr>
          <w:rFonts w:hint="eastAsia" w:eastAsia="方正小标宋_GBK"/>
          <w:sz w:val="32"/>
        </w:rPr>
      </w:pPr>
    </w:p>
    <w:p>
      <w:pPr>
        <w:jc w:val="center"/>
        <w:outlineLvl w:val="0"/>
        <w:rPr>
          <w:rFonts w:hint="eastAsia" w:eastAsia="方正小标宋_GBK"/>
          <w:sz w:val="32"/>
        </w:rPr>
      </w:pPr>
    </w:p>
    <w:p>
      <w:pPr>
        <w:jc w:val="center"/>
        <w:outlineLvl w:val="0"/>
        <w:rPr>
          <w:rFonts w:hint="eastAsia" w:eastAsia="方正小标宋_GBK"/>
          <w:sz w:val="32"/>
        </w:rPr>
      </w:pPr>
    </w:p>
    <w:p>
      <w:pPr>
        <w:jc w:val="center"/>
        <w:outlineLvl w:val="0"/>
        <w:rPr>
          <w:rFonts w:hint="eastAsia" w:eastAsia="方正小标宋_GBK"/>
          <w:sz w:val="32"/>
        </w:rPr>
      </w:pPr>
    </w:p>
    <w:p>
      <w:pPr>
        <w:jc w:val="center"/>
        <w:outlineLvl w:val="0"/>
        <w:rPr>
          <w:rFonts w:eastAsia="方正小标宋_GBK"/>
          <w:sz w:val="32"/>
        </w:rPr>
      </w:pPr>
      <w:r>
        <w:rPr>
          <w:rFonts w:hint="eastAsia" w:eastAsia="方正小标宋_GBK"/>
          <w:sz w:val="32"/>
        </w:rPr>
        <w:t>部门机构设置情况</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687"/>
        <w:gridCol w:w="2087"/>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4687"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087"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1821"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4687" w:type="dxa"/>
          </w:tcPr>
          <w:p>
            <w:pPr>
              <w:spacing w:after="0" w:line="560" w:lineRule="exact"/>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中共河北省大城县委办公室（本级）</w:t>
            </w:r>
          </w:p>
        </w:tc>
        <w:tc>
          <w:tcPr>
            <w:tcW w:w="2087" w:type="dxa"/>
          </w:tcPr>
          <w:p>
            <w:pPr>
              <w:spacing w:after="0" w:line="560" w:lineRule="exact"/>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行政单位</w:t>
            </w:r>
          </w:p>
        </w:tc>
        <w:tc>
          <w:tcPr>
            <w:tcW w:w="1821" w:type="dxa"/>
          </w:tcPr>
          <w:p>
            <w:pPr>
              <w:spacing w:after="0" w:line="560" w:lineRule="exact"/>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4687" w:type="dxa"/>
          </w:tcPr>
          <w:p>
            <w:pPr>
              <w:spacing w:after="0" w:line="560" w:lineRule="exact"/>
              <w:rPr>
                <w:rFonts w:ascii="仿宋_GB2312" w:eastAsia="仿宋_GB2312" w:cs="ArialUnicodeMS" w:hAnsiTheme="minorHAnsi"/>
                <w:kern w:val="0"/>
                <w:sz w:val="28"/>
                <w:szCs w:val="28"/>
              </w:rPr>
            </w:pPr>
          </w:p>
        </w:tc>
        <w:tc>
          <w:tcPr>
            <w:tcW w:w="2087" w:type="dxa"/>
          </w:tcPr>
          <w:p>
            <w:pPr>
              <w:spacing w:after="0" w:line="560" w:lineRule="exact"/>
              <w:jc w:val="center"/>
              <w:rPr>
                <w:rFonts w:ascii="仿宋_GB2312" w:eastAsia="仿宋_GB2312" w:cs="ArialUnicodeMS" w:hAnsiTheme="minorHAnsi"/>
                <w:kern w:val="0"/>
                <w:sz w:val="28"/>
                <w:szCs w:val="28"/>
              </w:rPr>
            </w:pPr>
          </w:p>
        </w:tc>
        <w:tc>
          <w:tcPr>
            <w:tcW w:w="1821"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4687" w:type="dxa"/>
          </w:tcPr>
          <w:p>
            <w:pPr>
              <w:spacing w:after="0" w:line="560" w:lineRule="exact"/>
              <w:rPr>
                <w:rFonts w:ascii="仿宋_GB2312" w:eastAsia="仿宋_GB2312" w:cs="ArialUnicodeMS" w:hAnsiTheme="minorHAnsi"/>
                <w:kern w:val="0"/>
                <w:sz w:val="28"/>
                <w:szCs w:val="28"/>
              </w:rPr>
            </w:pPr>
          </w:p>
        </w:tc>
        <w:tc>
          <w:tcPr>
            <w:tcW w:w="2087" w:type="dxa"/>
          </w:tcPr>
          <w:p>
            <w:pPr>
              <w:spacing w:after="0" w:line="560" w:lineRule="exact"/>
              <w:jc w:val="center"/>
              <w:rPr>
                <w:rFonts w:ascii="仿宋_GB2312" w:eastAsia="仿宋_GB2312" w:cs="ArialUnicodeMS" w:hAnsiTheme="minorHAnsi"/>
                <w:kern w:val="0"/>
                <w:sz w:val="28"/>
                <w:szCs w:val="28"/>
              </w:rPr>
            </w:pPr>
          </w:p>
        </w:tc>
        <w:tc>
          <w:tcPr>
            <w:tcW w:w="1821"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after="0" w:line="240" w:lineRule="auto"/>
        <w:jc w:val="left"/>
        <w:rPr>
          <w:rFonts w:ascii="黑体" w:eastAsia="黑体" w:cs="MS-UIGothic,Bold"/>
          <w:bCs/>
          <w:kern w:val="0"/>
          <w:sz w:val="52"/>
          <w:szCs w:val="52"/>
        </w:rPr>
        <w:sectPr>
          <w:pgSz w:w="11906" w:h="16838"/>
          <w:pgMar w:top="1588" w:right="2098" w:bottom="147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eastAsia="黑体"/>
          <w:color w:val="000000"/>
          <w:sz w:val="72"/>
          <w:szCs w:val="96"/>
        </w:rPr>
      </w:pPr>
      <w:r>
        <w:rPr>
          <w:rFonts w:ascii="黑体" w:eastAsia="黑体"/>
          <w:color w:val="000000"/>
          <w:sz w:val="72"/>
          <w:szCs w:val="96"/>
        </w:rPr>
        <w:t>2018</w:t>
      </w:r>
      <w:r>
        <w:rPr>
          <w:rFonts w:hint="eastAsia" w:ascii="黑体" w:eastAsia="黑体"/>
          <w:color w:val="000000"/>
          <w:sz w:val="72"/>
          <w:szCs w:val="96"/>
        </w:rPr>
        <w:t>年度部门决算报表（见附表）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rFonts w:ascii="宋体" w:cs="ArialUnicodeMS"/>
          <w:color w:val="000000"/>
          <w:kern w:val="0"/>
        </w:rPr>
      </w:pPr>
      <w:r>
        <w:rPr>
          <w:rFonts w:hint="eastAsia" w:ascii="黑体" w:eastAsia="黑体"/>
          <w:color w:val="000000"/>
          <w:sz w:val="96"/>
          <w:szCs w:val="96"/>
        </w:rPr>
        <w:t>部门决算情况说明</w:t>
      </w:r>
    </w:p>
    <w:p>
      <w:pPr>
        <w:widowControl/>
        <w:spacing w:after="0" w:line="240" w:lineRule="auto"/>
        <w:jc w:val="left"/>
        <w:rPr>
          <w:rFonts w:ascii="宋体" w:cs="ArialUnicodeMS"/>
          <w:color w:val="000000"/>
          <w:kern w:val="0"/>
        </w:rPr>
        <w:sectPr>
          <w:pgSz w:w="11906" w:h="16838"/>
          <w:pgMar w:top="1588" w:right="2098" w:bottom="147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w:t>
      </w:r>
      <w:r>
        <w:rPr>
          <w:rFonts w:ascii="仿宋_GB2312" w:eastAsia="仿宋_GB2312" w:cs="DengXian-Regular"/>
          <w:sz w:val="32"/>
          <w:szCs w:val="32"/>
        </w:rPr>
        <w:t>1097.78</w:t>
      </w:r>
      <w:r>
        <w:rPr>
          <w:rFonts w:hint="eastAsia" w:ascii="仿宋_GB2312" w:eastAsia="仿宋_GB2312" w:cs="DengXian-Regular"/>
          <w:sz w:val="32"/>
          <w:szCs w:val="32"/>
        </w:rPr>
        <w:t>万元，支出</w:t>
      </w:r>
      <w:r>
        <w:rPr>
          <w:rFonts w:ascii="仿宋_GB2312" w:eastAsia="仿宋_GB2312" w:cs="DengXian-Regular"/>
          <w:sz w:val="32"/>
          <w:szCs w:val="32"/>
        </w:rPr>
        <w:t>882.61</w:t>
      </w:r>
      <w:r>
        <w:rPr>
          <w:rFonts w:hint="eastAsia" w:ascii="仿宋_GB2312" w:eastAsia="仿宋_GB2312" w:cs="DengXian-Regular"/>
          <w:sz w:val="32"/>
          <w:szCs w:val="32"/>
        </w:rPr>
        <w:t>万元，结转</w:t>
      </w:r>
      <w:r>
        <w:rPr>
          <w:rFonts w:ascii="仿宋_GB2312" w:eastAsia="仿宋_GB2312" w:cs="DengXian-Regular"/>
          <w:sz w:val="32"/>
          <w:szCs w:val="32"/>
        </w:rPr>
        <w:t>228.17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ascii="仿宋_GB2312" w:eastAsia="仿宋_GB2312" w:cs="DengXian-Regular"/>
          <w:sz w:val="32"/>
          <w:szCs w:val="32"/>
        </w:rPr>
        <w:t>22.2821</w:t>
      </w:r>
      <w:r>
        <w:rPr>
          <w:rFonts w:hint="eastAsia" w:ascii="仿宋_GB2312" w:eastAsia="仿宋_GB2312" w:cs="DengXian-Regular"/>
          <w:sz w:val="32"/>
          <w:szCs w:val="32"/>
        </w:rPr>
        <w:t>万元，增长</w:t>
      </w:r>
      <w:r>
        <w:rPr>
          <w:rFonts w:ascii="仿宋_GB2312" w:eastAsia="仿宋_GB2312" w:cs="DengXian-Regular"/>
          <w:sz w:val="32"/>
          <w:szCs w:val="32"/>
        </w:rPr>
        <w:t>2%</w:t>
      </w:r>
      <w:r>
        <w:rPr>
          <w:rFonts w:hint="eastAsia" w:ascii="仿宋_GB2312" w:eastAsia="仿宋_GB2312" w:cs="DengXian-Regular"/>
          <w:sz w:val="32"/>
          <w:szCs w:val="32"/>
        </w:rPr>
        <w:t>，主要原因是人员经费调整。支出减少</w:t>
      </w:r>
      <w:r>
        <w:rPr>
          <w:rFonts w:ascii="仿宋_GB2312" w:eastAsia="仿宋_GB2312" w:cs="DengXian-Regular"/>
          <w:sz w:val="32"/>
          <w:szCs w:val="32"/>
        </w:rPr>
        <w:t>179.61</w:t>
      </w:r>
      <w:r>
        <w:rPr>
          <w:rFonts w:hint="eastAsia" w:ascii="仿宋_GB2312" w:eastAsia="仿宋_GB2312" w:cs="DengXian-Regular"/>
          <w:sz w:val="32"/>
          <w:szCs w:val="32"/>
        </w:rPr>
        <w:t>万元，降低</w:t>
      </w:r>
      <w:r>
        <w:rPr>
          <w:rFonts w:ascii="仿宋_GB2312" w:eastAsia="仿宋_GB2312" w:cs="DengXian-Regular"/>
          <w:sz w:val="32"/>
          <w:szCs w:val="32"/>
        </w:rPr>
        <w:t>16.9%</w:t>
      </w:r>
      <w:r>
        <w:rPr>
          <w:rFonts w:hint="eastAsia" w:ascii="仿宋_GB2312" w:eastAsia="仿宋_GB2312" w:cs="DengXian-Regular"/>
          <w:sz w:val="32"/>
          <w:szCs w:val="32"/>
        </w:rPr>
        <w:t>，主要原因</w:t>
      </w:r>
      <w:r>
        <w:rPr>
          <w:rFonts w:hint="eastAsia" w:ascii="仿宋" w:hAnsi="仿宋" w:eastAsia="仿宋" w:cs="仿宋"/>
          <w:kern w:val="0"/>
          <w:sz w:val="32"/>
          <w:szCs w:val="32"/>
        </w:rPr>
        <w:t>本着厉行节约的要求，压减项目支出</w:t>
      </w:r>
      <w:r>
        <w:rPr>
          <w:rFonts w:hint="eastAsia" w:ascii="仿宋_GB2312" w:eastAsia="仿宋_GB2312" w:cs="DengXian-Regular"/>
          <w:sz w:val="32"/>
          <w:szCs w:val="32"/>
        </w:rPr>
        <w:t>压减支出。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1097.78</w:t>
      </w:r>
      <w:r>
        <w:rPr>
          <w:rFonts w:hint="eastAsia" w:ascii="仿宋_GB2312" w:eastAsia="仿宋_GB2312" w:cs="DengXian-Regular"/>
          <w:sz w:val="32"/>
          <w:szCs w:val="32"/>
        </w:rPr>
        <w:t>万元，其中：财政拨款收入</w:t>
      </w:r>
      <w:r>
        <w:rPr>
          <w:rFonts w:ascii="仿宋_GB2312" w:eastAsia="仿宋_GB2312" w:cs="DengXian-Regular"/>
          <w:sz w:val="32"/>
          <w:szCs w:val="32"/>
        </w:rPr>
        <w:t>1097.78</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adjustRightInd w:val="0"/>
        <w:snapToGrid w:val="0"/>
        <w:spacing w:line="584" w:lineRule="exact"/>
        <w:jc w:val="center"/>
        <w:rPr>
          <w:rFonts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1706245</wp:posOffset>
                </wp:positionH>
                <wp:positionV relativeFrom="paragraph">
                  <wp:posOffset>186055</wp:posOffset>
                </wp:positionV>
                <wp:extent cx="2114550" cy="2057400"/>
                <wp:effectExtent l="5080" t="5080" r="13970" b="13970"/>
                <wp:wrapNone/>
                <wp:docPr id="1" name="椭圆"/>
                <wp:cNvGraphicFramePr/>
                <a:graphic xmlns:a="http://schemas.openxmlformats.org/drawingml/2006/main">
                  <a:graphicData uri="http://schemas.microsoft.com/office/word/2010/wordprocessingShape">
                    <wps:wsp>
                      <wps:cNvSpPr/>
                      <wps:spPr>
                        <a:xfrm>
                          <a:off x="0" y="0"/>
                          <a:ext cx="2114550" cy="2057400"/>
                        </a:xfrm>
                        <a:prstGeom prst="ellipse">
                          <a:avLst/>
                        </a:prstGeom>
                        <a:solidFill>
                          <a:srgbClr val="F6C782"/>
                        </a:solidFill>
                        <a:ln w="9525" cap="flat" cmpd="sng">
                          <a:solidFill>
                            <a:srgbClr val="000000"/>
                          </a:solidFill>
                          <a:prstDash val="solid"/>
                          <a:miter/>
                          <a:headEnd type="none" w="med" len="med"/>
                          <a:tailEnd type="none" w="med" len="med"/>
                        </a:ln>
                      </wps:spPr>
                      <wps:txbx>
                        <w:txbxContent>
                          <w:p>
                            <w:pPr>
                              <w:jc w:val="center"/>
                            </w:pPr>
                            <w:r>
                              <w:rPr>
                                <w:rFonts w:hint="eastAsia"/>
                              </w:rPr>
                              <w:t>财政拨款</w:t>
                            </w:r>
                          </w:p>
                          <w:p>
                            <w:pPr>
                              <w:jc w:val="center"/>
                            </w:pPr>
                          </w:p>
                          <w:p>
                            <w:pPr>
                              <w:jc w:val="center"/>
                            </w:pPr>
                            <w:r>
                              <w:t>100%</w:t>
                            </w:r>
                          </w:p>
                        </w:txbxContent>
                      </wps:txbx>
                      <wps:bodyPr upright="1"/>
                    </wps:wsp>
                  </a:graphicData>
                </a:graphic>
              </wp:anchor>
            </w:drawing>
          </mc:Choice>
          <mc:Fallback>
            <w:pict>
              <v:shape id="椭圆" o:spid="_x0000_s1026" o:spt="3" type="#_x0000_t3" style="position:absolute;left:0pt;margin-left:134.35pt;margin-top:14.65pt;height:162pt;width:166.5pt;z-index:251659264;mso-width-relative:page;mso-height-relative:page;" fillcolor="#F6C782" filled="t" stroked="t" coordsize="21600,21600" o:gfxdata="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4HXG2QAAAAoBAAAPAAAAAAAAAAEAIAAAACIA&#10;AABkcnMvZG93bnJldi54bWxQSwECFAAUAAAACACHTuJADpqCZggCAAArBAAADgAAAAAAAAABACAA&#10;AAAoAQAAZHJzL2Uyb0RvYy54bWxQSwUGAAAAAAYABgBZAQAAogUAAAAA&#10;">
                <v:fill on="t" focussize="0,0"/>
                <v:stroke color="#000000" joinstyle="miter"/>
                <v:imagedata o:title=""/>
                <o:lock v:ext="edit" aspectratio="f"/>
                <v:textbox>
                  <w:txbxContent>
                    <w:p>
                      <w:pPr>
                        <w:jc w:val="center"/>
                      </w:pPr>
                      <w:r>
                        <w:rPr>
                          <w:rFonts w:hint="eastAsia"/>
                        </w:rPr>
                        <w:t>财政拨款</w:t>
                      </w:r>
                    </w:p>
                    <w:p>
                      <w:pPr>
                        <w:jc w:val="center"/>
                      </w:pPr>
                    </w:p>
                    <w:p>
                      <w:pPr>
                        <w:jc w:val="center"/>
                      </w:pPr>
                      <w:r>
                        <w:t>100%</w:t>
                      </w:r>
                    </w:p>
                  </w:txbxContent>
                </v:textbox>
              </v:shape>
            </w:pict>
          </mc:Fallback>
        </mc:AlternateContent>
      </w: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jc w:val="center"/>
        <w:rPr>
          <w:rFonts w:ascii="黑体" w:eastAsia="黑体" w:cs="Arial"/>
          <w:sz w:val="32"/>
          <w:szCs w:val="32"/>
        </w:rPr>
      </w:pPr>
    </w:p>
    <w:p/>
    <w:p/>
    <w:p>
      <w:pPr>
        <w:pStyle w:val="3"/>
        <w:spacing w:before="0" w:after="0" w:line="580" w:lineRule="exact"/>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882.61</w:t>
      </w:r>
      <w:r>
        <w:rPr>
          <w:rFonts w:hint="eastAsia" w:ascii="仿宋_GB2312" w:eastAsia="仿宋_GB2312" w:cs="DengXian-Regular"/>
          <w:sz w:val="32"/>
          <w:szCs w:val="32"/>
        </w:rPr>
        <w:t>万元，其中：基本支出</w:t>
      </w:r>
      <w:r>
        <w:rPr>
          <w:rFonts w:ascii="仿宋_GB2312" w:eastAsia="仿宋_GB2312" w:cs="DengXian-Regular"/>
          <w:sz w:val="32"/>
          <w:szCs w:val="32"/>
        </w:rPr>
        <w:t>377.37</w:t>
      </w:r>
      <w:r>
        <w:rPr>
          <w:rFonts w:hint="eastAsia" w:ascii="仿宋_GB2312" w:eastAsia="仿宋_GB2312" w:cs="DengXian-Regular"/>
          <w:sz w:val="32"/>
          <w:szCs w:val="32"/>
        </w:rPr>
        <w:t>万元，占</w:t>
      </w:r>
      <w:r>
        <w:rPr>
          <w:rFonts w:ascii="仿宋_GB2312" w:eastAsia="仿宋_GB2312" w:cs="DengXian-Regular"/>
          <w:sz w:val="32"/>
          <w:szCs w:val="32"/>
        </w:rPr>
        <w:t xml:space="preserve"> 42.76%</w:t>
      </w:r>
      <w:r>
        <w:rPr>
          <w:rFonts w:hint="eastAsia" w:ascii="仿宋_GB2312" w:eastAsia="仿宋_GB2312" w:cs="DengXian-Regular"/>
          <w:sz w:val="32"/>
          <w:szCs w:val="32"/>
        </w:rPr>
        <w:t>；项目支出</w:t>
      </w:r>
      <w:r>
        <w:rPr>
          <w:rFonts w:ascii="仿宋_GB2312" w:eastAsia="仿宋_GB2312" w:cs="DengXian-Regular"/>
          <w:sz w:val="32"/>
          <w:szCs w:val="32"/>
        </w:rPr>
        <w:t>505.24</w:t>
      </w:r>
      <w:r>
        <w:rPr>
          <w:rFonts w:hint="eastAsia" w:ascii="仿宋_GB2312" w:eastAsia="仿宋_GB2312" w:cs="DengXian-Regular"/>
          <w:sz w:val="32"/>
          <w:szCs w:val="32"/>
        </w:rPr>
        <w:t>万元，占</w:t>
      </w:r>
      <w:r>
        <w:rPr>
          <w:rFonts w:ascii="仿宋_GB2312" w:eastAsia="仿宋_GB2312" w:cs="DengXian-Regular"/>
          <w:sz w:val="32"/>
          <w:szCs w:val="32"/>
        </w:rPr>
        <w:t>57.24%</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jc w:val="center"/>
      </w:pPr>
      <w:r>
        <w:object>
          <v:shape id="_x0000_i1030" o:spt="75" type="#_x0000_t75" style="height:180.75pt;width:319.5pt;" o:ole="t" filled="f" o:preferrelative="t" stroked="f" coordsize="21600,21600">
            <v:path/>
            <v:fill on="f" focussize="0,0"/>
            <v:stroke on="f" joinstyle="miter"/>
            <v:imagedata r:id="rId7" cropleft="-17671f" croptop="-142027f" cropright="-2661f" cropbottom="-139817f" o:title=""/>
            <o:lock v:ext="edit" aspectratio="f"/>
            <w10:wrap type="none"/>
            <w10:anchorlock/>
          </v:shape>
          <o:OLEObject Type="Embed" ProgID="Excel.Chart.8" ShapeID="_x0000_i1030" DrawAspect="Content" ObjectID="_1468075725" r:id="rId6">
            <o:LockedField>false</o:LockedField>
          </o:OLEObject>
        </w:object>
      </w:r>
    </w:p>
    <w:p>
      <w:pPr>
        <w:jc w:val="center"/>
      </w:pPr>
    </w:p>
    <w:p>
      <w:pPr>
        <w:jc w:val="center"/>
      </w:pPr>
    </w:p>
    <w:p>
      <w:pPr>
        <w:pStyle w:val="3"/>
        <w:spacing w:before="0" w:after="0" w:line="580" w:lineRule="exact"/>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1097.78</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22.28</w:t>
      </w:r>
      <w:r>
        <w:rPr>
          <w:rFonts w:hint="eastAsia" w:ascii="仿宋_GB2312" w:eastAsia="仿宋_GB2312" w:cs="DengXian-Regular"/>
          <w:sz w:val="32"/>
          <w:szCs w:val="32"/>
        </w:rPr>
        <w:t>万元，增长</w:t>
      </w:r>
      <w:r>
        <w:rPr>
          <w:rFonts w:ascii="仿宋_GB2312" w:eastAsia="仿宋_GB2312" w:cs="DengXian-Regular"/>
          <w:sz w:val="32"/>
          <w:szCs w:val="32"/>
        </w:rPr>
        <w:t>2%</w:t>
      </w:r>
      <w:r>
        <w:rPr>
          <w:rFonts w:hint="eastAsia" w:ascii="仿宋_GB2312" w:eastAsia="仿宋_GB2312" w:cs="DengXian-Regular"/>
          <w:sz w:val="32"/>
          <w:szCs w:val="32"/>
        </w:rPr>
        <w:t>，主要是人员经费调整；本年支出</w:t>
      </w:r>
      <w:r>
        <w:rPr>
          <w:rFonts w:ascii="仿宋_GB2312" w:eastAsia="仿宋_GB2312" w:cs="DengXian-Regular"/>
          <w:sz w:val="32"/>
          <w:szCs w:val="32"/>
        </w:rPr>
        <w:t>882.61</w:t>
      </w:r>
      <w:r>
        <w:rPr>
          <w:rFonts w:hint="eastAsia" w:ascii="仿宋_GB2312" w:eastAsia="仿宋_GB2312" w:cs="DengXian-Regular"/>
          <w:sz w:val="32"/>
          <w:szCs w:val="32"/>
        </w:rPr>
        <w:t>万元，结转</w:t>
      </w:r>
      <w:r>
        <w:rPr>
          <w:rFonts w:ascii="仿宋_GB2312" w:eastAsia="仿宋_GB2312" w:cs="DengXian-Regular"/>
          <w:sz w:val="32"/>
          <w:szCs w:val="32"/>
        </w:rPr>
        <w:t>228.17</w:t>
      </w:r>
      <w:r>
        <w:rPr>
          <w:rFonts w:hint="eastAsia" w:ascii="仿宋_GB2312" w:eastAsia="仿宋_GB2312" w:cs="DengXian-Regular"/>
          <w:sz w:val="32"/>
          <w:szCs w:val="32"/>
        </w:rPr>
        <w:t>万元，减少</w:t>
      </w:r>
      <w:r>
        <w:rPr>
          <w:rFonts w:ascii="仿宋_GB2312" w:eastAsia="仿宋_GB2312" w:cs="DengXian-Regular"/>
          <w:sz w:val="32"/>
          <w:szCs w:val="32"/>
        </w:rPr>
        <w:t>179.61</w:t>
      </w:r>
      <w:r>
        <w:rPr>
          <w:rFonts w:hint="eastAsia" w:ascii="仿宋_GB2312" w:eastAsia="仿宋_GB2312" w:cs="DengXian-Regular"/>
          <w:sz w:val="32"/>
          <w:szCs w:val="32"/>
        </w:rPr>
        <w:t>万元，降低</w:t>
      </w:r>
      <w:r>
        <w:rPr>
          <w:rFonts w:ascii="仿宋_GB2312" w:eastAsia="仿宋_GB2312" w:cs="DengXian-Regular"/>
          <w:sz w:val="32"/>
          <w:szCs w:val="32"/>
        </w:rPr>
        <w:t>16.9%</w:t>
      </w:r>
      <w:r>
        <w:rPr>
          <w:rFonts w:hint="eastAsia" w:ascii="仿宋_GB2312" w:eastAsia="仿宋_GB2312" w:cs="DengXian-Regular"/>
          <w:sz w:val="32"/>
          <w:szCs w:val="32"/>
        </w:rPr>
        <w:t>，主要是</w:t>
      </w:r>
      <w:r>
        <w:rPr>
          <w:rFonts w:hint="eastAsia" w:ascii="仿宋" w:hAnsi="仿宋" w:eastAsia="仿宋" w:cs="仿宋"/>
          <w:kern w:val="0"/>
          <w:sz w:val="32"/>
          <w:szCs w:val="32"/>
        </w:rPr>
        <w:t>本着厉行节约的要求，压减</w:t>
      </w:r>
      <w:r>
        <w:rPr>
          <w:rFonts w:hint="eastAsia" w:ascii="仿宋" w:hAnsi="仿宋" w:eastAsia="仿宋" w:cs="仿宋"/>
          <w:kern w:val="0"/>
          <w:sz w:val="32"/>
          <w:szCs w:val="32"/>
          <w:lang w:val="en-US" w:eastAsia="zh-CN"/>
        </w:rPr>
        <w:t>经费</w:t>
      </w:r>
      <w:r>
        <w:rPr>
          <w:rFonts w:hint="eastAsia" w:ascii="仿宋_GB2312" w:eastAsia="仿宋_GB2312" w:cs="DengXian-Regular"/>
          <w:sz w:val="32"/>
          <w:szCs w:val="32"/>
        </w:rPr>
        <w:t>支出。</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jc w:val="center"/>
      </w:pPr>
      <w:r>
        <w:object>
          <v:shape id="_x0000_i1026" o:spt="75" type="#_x0000_t75" style="height:237.75pt;width:409.5pt;" o:ole="t" filled="f" o:preferrelative="t" stroked="f" coordsize="21600,21600">
            <v:path/>
            <v:fill on="f" focussize="0,0"/>
            <v:stroke on="f" joinstyle="miter"/>
            <v:imagedata r:id="rId9" o:title=""/>
            <o:lock v:ext="edit" aspectratio="f"/>
            <w10:wrap type="none"/>
            <w10:anchorlock/>
          </v:shape>
          <o:OLEObject Type="Embed" ProgID="Excel.Chart.8" ShapeID="_x0000_i1026" DrawAspect="Content" ObjectID="_1468075726" r:id="rId8">
            <o:LockedField>false</o:LockedField>
          </o:OLEObject>
        </w:objec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1097.78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122.81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203.93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人员经费增加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882.61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98.74</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228.17</w:t>
      </w:r>
      <w:r>
        <w:rPr>
          <w:rFonts w:hint="eastAsia" w:ascii="仿宋_GB2312" w:eastAsia="仿宋_GB2312" w:cs="DengXian-Regular"/>
          <w:sz w:val="32"/>
          <w:szCs w:val="32"/>
        </w:rPr>
        <w:t>万元，决算数小于预算数主要是</w:t>
      </w:r>
      <w:r>
        <w:rPr>
          <w:rFonts w:hint="eastAsia" w:ascii="仿宋" w:hAnsi="仿宋" w:eastAsia="仿宋" w:cs="仿宋"/>
          <w:kern w:val="0"/>
          <w:sz w:val="32"/>
          <w:szCs w:val="32"/>
        </w:rPr>
        <w:t>厉行节约的要求，压减</w:t>
      </w:r>
      <w:r>
        <w:rPr>
          <w:rFonts w:hint="eastAsia" w:ascii="仿宋" w:hAnsi="仿宋" w:eastAsia="仿宋" w:cs="仿宋"/>
          <w:kern w:val="0"/>
          <w:sz w:val="32"/>
          <w:szCs w:val="32"/>
          <w:lang w:val="en-US" w:eastAsia="zh-CN"/>
        </w:rPr>
        <w:t>经费</w:t>
      </w:r>
      <w:r>
        <w:rPr>
          <w:rFonts w:hint="eastAsia" w:ascii="仿宋_GB2312" w:eastAsia="仿宋_GB2312" w:cs="DengXian-Regular"/>
          <w:sz w:val="32"/>
          <w:szCs w:val="32"/>
        </w:rPr>
        <w:t>支出。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122.81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203.93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人员经费增加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98.74</w:t>
      </w:r>
      <w:r>
        <w:rPr>
          <w:rFonts w:hint="eastAsia" w:ascii="仿宋_GB2312" w:eastAsia="仿宋_GB2312" w:cs="DengXian-Regular"/>
          <w:sz w:val="32"/>
          <w:szCs w:val="32"/>
        </w:rPr>
        <w:t>%，比年初预算增加减少</w:t>
      </w:r>
      <w:r>
        <w:rPr>
          <w:rFonts w:hint="eastAsia" w:ascii="仿宋_GB2312" w:eastAsia="仿宋_GB2312" w:cs="DengXian-Regular"/>
          <w:sz w:val="32"/>
          <w:szCs w:val="32"/>
          <w:lang w:val="en-US" w:eastAsia="zh-CN"/>
        </w:rPr>
        <w:t>228.17</w:t>
      </w:r>
      <w:r>
        <w:rPr>
          <w:rFonts w:hint="eastAsia" w:ascii="仿宋_GB2312" w:eastAsia="仿宋_GB2312" w:cs="DengXian-Regular"/>
          <w:sz w:val="32"/>
          <w:szCs w:val="32"/>
        </w:rPr>
        <w:t>万元，决算数小于预算数主要是</w:t>
      </w:r>
      <w:r>
        <w:rPr>
          <w:rFonts w:hint="eastAsia" w:ascii="仿宋" w:hAnsi="仿宋" w:eastAsia="仿宋" w:cs="仿宋"/>
          <w:kern w:val="0"/>
          <w:sz w:val="32"/>
          <w:szCs w:val="32"/>
        </w:rPr>
        <w:t>厉行节约的要求，压减</w:t>
      </w:r>
      <w:r>
        <w:rPr>
          <w:rFonts w:hint="eastAsia" w:ascii="仿宋" w:hAnsi="仿宋" w:eastAsia="仿宋" w:cs="仿宋"/>
          <w:kern w:val="0"/>
          <w:sz w:val="32"/>
          <w:szCs w:val="32"/>
          <w:lang w:val="en-US" w:eastAsia="zh-CN"/>
        </w:rPr>
        <w:t>经费</w:t>
      </w:r>
      <w:r>
        <w:rPr>
          <w:rFonts w:hint="eastAsia" w:ascii="仿宋_GB2312" w:eastAsia="仿宋_GB2312" w:cs="DengXian-Regular"/>
          <w:sz w:val="32"/>
          <w:szCs w:val="32"/>
        </w:rPr>
        <w:t>支出。</w:t>
      </w: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 w:hAnsi="仿宋" w:eastAsia="仿宋" w:cs="仿宋"/>
          <w:sz w:val="32"/>
          <w:szCs w:val="32"/>
          <w:lang w:eastAsia="zh-CN"/>
        </w:rPr>
        <w:t>与</w:t>
      </w:r>
      <w:r>
        <w:rPr>
          <w:rFonts w:hint="eastAsia" w:ascii="仿宋" w:hAnsi="仿宋" w:eastAsia="仿宋" w:cs="仿宋"/>
          <w:sz w:val="32"/>
          <w:szCs w:val="32"/>
        </w:rPr>
        <w:t>年初预算</w:t>
      </w:r>
      <w:r>
        <w:rPr>
          <w:rFonts w:hint="eastAsia" w:ascii="仿宋" w:hAnsi="仿宋" w:eastAsia="仿宋" w:cs="仿宋"/>
          <w:sz w:val="32"/>
          <w:szCs w:val="32"/>
          <w:lang w:eastAsia="zh-CN"/>
        </w:rPr>
        <w:t>持平</w:t>
      </w:r>
      <w:r>
        <w:rPr>
          <w:rFonts w:hint="eastAsia" w:ascii="仿宋" w:hAnsi="仿宋" w:eastAsia="仿宋" w:cs="仿宋"/>
          <w:sz w:val="32"/>
          <w:szCs w:val="32"/>
        </w:rPr>
        <w:t>；</w:t>
      </w:r>
      <w:r>
        <w:rPr>
          <w:rFonts w:hint="eastAsia" w:ascii="仿宋_GB2312" w:hAnsi="Times New Roman" w:eastAsia="仿宋_GB2312" w:cs="DengXian-Regular"/>
          <w:sz w:val="32"/>
          <w:szCs w:val="32"/>
        </w:rPr>
        <w:t>政府性基金预算财政拨款本年</w:t>
      </w:r>
      <w:r>
        <w:rPr>
          <w:rFonts w:hint="eastAsia" w:ascii="仿宋" w:hAnsi="仿宋" w:eastAsia="仿宋" w:cs="仿宋"/>
          <w:sz w:val="32"/>
          <w:szCs w:val="32"/>
        </w:rPr>
        <w:t>支出</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与</w:t>
      </w:r>
      <w:r>
        <w:rPr>
          <w:rFonts w:hint="eastAsia" w:ascii="仿宋" w:hAnsi="仿宋" w:eastAsia="仿宋" w:cs="仿宋"/>
          <w:sz w:val="32"/>
          <w:szCs w:val="32"/>
        </w:rPr>
        <w:t>2017年度决算</w:t>
      </w:r>
      <w:r>
        <w:rPr>
          <w:rFonts w:hint="eastAsia" w:ascii="仿宋" w:hAnsi="仿宋" w:eastAsia="仿宋" w:cs="仿宋"/>
          <w:sz w:val="32"/>
          <w:szCs w:val="32"/>
          <w:lang w:eastAsia="zh-CN"/>
        </w:rPr>
        <w:t>持平。</w:t>
      </w:r>
    </w:p>
    <w:p>
      <w:pPr>
        <w:adjustRightInd w:val="0"/>
        <w:snapToGrid w:val="0"/>
        <w:spacing w:after="0" w:line="580" w:lineRule="exact"/>
        <w:ind w:firstLine="640" w:firstLineChars="200"/>
        <w:rPr>
          <w:rFonts w:ascii="仿宋_GB2312" w:eastAsia="仿宋_GB2312" w:cs="DengXian-Regular"/>
          <w:sz w:val="32"/>
          <w:szCs w:val="32"/>
        </w:rPr>
      </w:pPr>
    </w:p>
    <w:p>
      <w:pPr>
        <w:jc w:val="center"/>
      </w:pPr>
      <w:r>
        <w:rPr>
          <w:rFonts w:hint="eastAsia"/>
          <w:sz w:val="32"/>
          <w:szCs w:val="32"/>
        </w:rPr>
        <w:t>图</w:t>
      </w:r>
      <w:r>
        <w:rPr>
          <w:sz w:val="32"/>
          <w:szCs w:val="32"/>
        </w:rPr>
        <w:t>4</w:t>
      </w:r>
      <w:r>
        <w:rPr>
          <w:rFonts w:hint="eastAsia"/>
          <w:sz w:val="32"/>
          <w:szCs w:val="32"/>
        </w:rPr>
        <w:t>：财政拨款收支预决算对比情况</w:t>
      </w:r>
      <w:r>
        <w:object>
          <v:shape id="_x0000_i1027" o:spt="75" type="#_x0000_t75" style="height:186pt;width:412.5pt;" o:ole="t" filled="f" o:preferrelative="t" stroked="f" coordsize="21600,21600">
            <v:path/>
            <v:fill on="f" focussize="0,0"/>
            <v:stroke on="f" joinstyle="miter"/>
            <v:imagedata r:id="rId11" o:title=""/>
            <o:lock v:ext="edit" aspectratio="f"/>
            <w10:wrap type="none"/>
            <w10:anchorlock/>
          </v:shape>
          <o:OLEObject Type="Embed" ProgID="Excel.Chart.8" ShapeID="_x0000_i1027" DrawAspect="Content" ObjectID="_1468075727" r:id="rId10">
            <o:LockedField>false</o:LockedField>
          </o:OLEObject>
        </w:objec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882.61</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832.11</w:t>
      </w:r>
      <w:r>
        <w:rPr>
          <w:rFonts w:hint="eastAsia" w:ascii="仿宋_GB2312" w:eastAsia="仿宋_GB2312" w:cs="DengXian-Regular"/>
          <w:sz w:val="32"/>
          <w:szCs w:val="32"/>
        </w:rPr>
        <w:t>万元，占</w:t>
      </w:r>
      <w:r>
        <w:rPr>
          <w:rFonts w:ascii="仿宋_GB2312" w:eastAsia="仿宋_GB2312" w:cs="DengXian-Regular"/>
          <w:sz w:val="32"/>
          <w:szCs w:val="32"/>
        </w:rPr>
        <w:t>94.27%</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33.71</w:t>
      </w:r>
      <w:r>
        <w:rPr>
          <w:rFonts w:hint="eastAsia" w:ascii="仿宋_GB2312" w:eastAsia="仿宋_GB2312" w:cs="DengXian-Regular"/>
          <w:sz w:val="32"/>
          <w:szCs w:val="32"/>
        </w:rPr>
        <w:t>万元，占</w:t>
      </w:r>
      <w:r>
        <w:rPr>
          <w:rFonts w:ascii="仿宋_GB2312" w:eastAsia="仿宋_GB2312" w:cs="DengXian-Regular"/>
          <w:sz w:val="32"/>
          <w:szCs w:val="32"/>
        </w:rPr>
        <w:t>3.82%</w:t>
      </w:r>
      <w:r>
        <w:rPr>
          <w:rFonts w:hint="eastAsia" w:ascii="仿宋_GB2312" w:eastAsia="仿宋_GB2312" w:cs="DengXian-Regular"/>
          <w:sz w:val="32"/>
          <w:szCs w:val="32"/>
        </w:rPr>
        <w:t>；医疗卫生与计划生育（类）支出</w:t>
      </w:r>
      <w:r>
        <w:rPr>
          <w:rFonts w:ascii="仿宋_GB2312" w:eastAsia="仿宋_GB2312" w:cs="DengXian-Regular"/>
          <w:sz w:val="32"/>
          <w:szCs w:val="32"/>
        </w:rPr>
        <w:t>16.79</w:t>
      </w:r>
      <w:r>
        <w:rPr>
          <w:rFonts w:hint="eastAsia" w:ascii="仿宋_GB2312" w:eastAsia="仿宋_GB2312" w:cs="DengXian-Regular"/>
          <w:sz w:val="32"/>
          <w:szCs w:val="32"/>
        </w:rPr>
        <w:t>万元，占</w:t>
      </w:r>
      <w:r>
        <w:rPr>
          <w:rFonts w:ascii="仿宋_GB2312" w:eastAsia="仿宋_GB2312" w:cs="DengXian-Regular"/>
          <w:sz w:val="32"/>
          <w:szCs w:val="32"/>
        </w:rPr>
        <w:t>1.9%</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jc w:val="center"/>
      </w:pPr>
      <w:r>
        <w:object>
          <v:shape id="_x0000_i1028" o:spt="75" type="#_x0000_t75" style="height:236.25pt;width:433.5pt;" o:ole="t" filled="f" o:preferrelative="t" stroked="f" coordsize="21600,21600">
            <v:path/>
            <v:fill on="f" focussize="0,0"/>
            <v:stroke on="f" joinstyle="miter"/>
            <v:imagedata r:id="rId13" cropleft="-18179f" croptop="-1570f" cropright="-9052f" cropbottom="-19126f" o:title=""/>
            <o:lock v:ext="edit" aspectratio="f"/>
            <w10:wrap type="none"/>
            <w10:anchorlock/>
          </v:shape>
          <o:OLEObject Type="Embed" ProgID="Excel.Chart.8" ShapeID="_x0000_i1028" DrawAspect="Content" ObjectID="_1468075728" r:id="rId12">
            <o:LockedField>false</o:LockedField>
          </o:OLEObject>
        </w:object>
      </w:r>
    </w:p>
    <w:p>
      <w:pPr>
        <w:adjustRightInd w:val="0"/>
        <w:snapToGrid w:val="0"/>
        <w:spacing w:after="0" w:line="580" w:lineRule="exact"/>
        <w:jc w:val="center"/>
        <w:rPr>
          <w:rFonts w:eastAsia="仿宋_GB2312"/>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377.37</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321.30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56.06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16.0525</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80.9475</w:t>
      </w:r>
      <w:r>
        <w:rPr>
          <w:rFonts w:eastAsia="仿宋_GB2312"/>
          <w:sz w:val="32"/>
          <w:szCs w:val="32"/>
        </w:rPr>
        <w:t>万元，降低</w:t>
      </w:r>
      <w:r>
        <w:rPr>
          <w:rFonts w:hint="eastAsia" w:eastAsia="仿宋_GB2312"/>
          <w:sz w:val="32"/>
          <w:szCs w:val="32"/>
          <w:lang w:val="en-US" w:eastAsia="zh-CN"/>
        </w:rPr>
        <w:t>83.45</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压减三公经费支出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168.125547</w:t>
      </w:r>
      <w:r>
        <w:rPr>
          <w:rFonts w:eastAsia="仿宋_GB2312"/>
          <w:sz w:val="32"/>
          <w:szCs w:val="32"/>
        </w:rPr>
        <w:t>万元，降低</w:t>
      </w:r>
      <w:r>
        <w:rPr>
          <w:rFonts w:hint="eastAsia" w:eastAsia="仿宋_GB2312"/>
          <w:sz w:val="32"/>
          <w:szCs w:val="32"/>
          <w:lang w:val="en-US" w:eastAsia="zh-CN"/>
        </w:rPr>
        <w:t>91.28</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压减三公经费支出</w:t>
      </w:r>
      <w:r>
        <w:rPr>
          <w:rFonts w:eastAsia="仿宋_GB2312"/>
          <w:sz w:val="32"/>
          <w:szCs w:val="32"/>
        </w:rPr>
        <w:t>。具体情况如下：</w:t>
      </w:r>
    </w:p>
    <w:p>
      <w:pPr>
        <w:numPr>
          <w:ilvl w:val="0"/>
          <w:numId w:val="3"/>
        </w:numPr>
        <w:adjustRightInd w:val="0"/>
        <w:snapToGrid w:val="0"/>
        <w:spacing w:line="584" w:lineRule="exact"/>
        <w:ind w:firstLine="643" w:firstLineChars="200"/>
        <w:rPr>
          <w:rFonts w:eastAsia="仿宋_GB2312"/>
          <w:sz w:val="32"/>
          <w:szCs w:val="32"/>
        </w:rPr>
      </w:pPr>
      <w:r>
        <w:rPr>
          <w:rFonts w:eastAsia="楷体_GB2312"/>
          <w:b/>
          <w:bCs/>
          <w:sz w:val="32"/>
          <w:szCs w:val="32"/>
        </w:rPr>
        <w:t>因公出国（境）费支出0万元。</w:t>
      </w:r>
      <w:r>
        <w:rPr>
          <w:rFonts w:ascii="仿宋_GB2312" w:eastAsia="仿宋_GB2312" w:cs="DengXian-Regular"/>
          <w:sz w:val="32"/>
          <w:szCs w:val="32"/>
        </w:rPr>
        <w:t>大城县</w:t>
      </w:r>
      <w:r>
        <w:rPr>
          <w:rFonts w:hint="eastAsia" w:ascii="仿宋_GB2312" w:eastAsia="仿宋_GB2312" w:cs="DengXian-Regular"/>
          <w:sz w:val="32"/>
          <w:szCs w:val="32"/>
          <w:lang w:val="en-US" w:eastAsia="zh-CN"/>
        </w:rPr>
        <w:t>委办公室</w:t>
      </w:r>
      <w:r>
        <w:rPr>
          <w:rFonts w:eastAsia="仿宋_GB2312"/>
          <w:sz w:val="32"/>
          <w:szCs w:val="32"/>
        </w:rPr>
        <w:t>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人/无本单位组织的出国（境）团组</w:t>
      </w:r>
      <w:r>
        <w:rPr>
          <w:rFonts w:hint="eastAsia" w:ascii="仿宋_GB2312" w:eastAsia="仿宋_GB2312" w:cs="DengXian-Regular"/>
          <w:sz w:val="32"/>
          <w:szCs w:val="32"/>
          <w:lang w:eastAsia="zh-CN"/>
        </w:rPr>
        <w:t>。</w:t>
      </w:r>
      <w:r>
        <w:rPr>
          <w:rFonts w:hint="eastAsia" w:ascii="仿宋" w:hAnsi="仿宋" w:eastAsia="仿宋" w:cs="仿宋"/>
          <w:sz w:val="32"/>
          <w:szCs w:val="32"/>
        </w:rPr>
        <w:t>因公出国（境）费支出</w:t>
      </w:r>
      <w:r>
        <w:rPr>
          <w:rFonts w:hint="eastAsia" w:ascii="仿宋" w:hAnsi="仿宋" w:eastAsia="仿宋" w:cs="仿宋"/>
          <w:sz w:val="32"/>
          <w:szCs w:val="32"/>
          <w:lang w:eastAsia="zh-CN"/>
        </w:rPr>
        <w:t>与</w:t>
      </w:r>
      <w:r>
        <w:rPr>
          <w:rFonts w:hint="eastAsia" w:ascii="仿宋" w:hAnsi="仿宋" w:eastAsia="仿宋" w:cs="仿宋"/>
          <w:sz w:val="32"/>
          <w:szCs w:val="32"/>
        </w:rPr>
        <w:t>年初预算</w:t>
      </w:r>
      <w:r>
        <w:rPr>
          <w:rFonts w:hint="eastAsia" w:ascii="仿宋" w:hAnsi="仿宋" w:eastAsia="仿宋" w:cs="仿宋"/>
          <w:sz w:val="32"/>
          <w:szCs w:val="32"/>
          <w:lang w:eastAsia="zh-CN"/>
        </w:rPr>
        <w:t>持平</w:t>
      </w:r>
      <w:r>
        <w:rPr>
          <w:rFonts w:hint="eastAsia" w:ascii="仿宋" w:hAnsi="仿宋" w:eastAsia="仿宋" w:cs="仿宋"/>
          <w:sz w:val="32"/>
          <w:szCs w:val="32"/>
        </w:rPr>
        <w:t>；</w:t>
      </w:r>
      <w:r>
        <w:rPr>
          <w:rFonts w:hint="eastAsia" w:ascii="仿宋" w:hAnsi="仿宋" w:eastAsia="仿宋" w:cs="仿宋"/>
          <w:sz w:val="32"/>
          <w:szCs w:val="32"/>
          <w:lang w:eastAsia="zh-CN"/>
        </w:rPr>
        <w:t>与</w:t>
      </w:r>
      <w:r>
        <w:rPr>
          <w:rFonts w:hint="eastAsia" w:ascii="仿宋" w:hAnsi="仿宋" w:eastAsia="仿宋" w:cs="仿宋"/>
          <w:sz w:val="32"/>
          <w:szCs w:val="32"/>
        </w:rPr>
        <w:t>2017年度决算</w:t>
      </w:r>
      <w:r>
        <w:rPr>
          <w:rFonts w:hint="eastAsia" w:ascii="仿宋" w:hAnsi="仿宋" w:eastAsia="仿宋" w:cs="仿宋"/>
          <w:sz w:val="32"/>
          <w:szCs w:val="32"/>
          <w:lang w:eastAsia="zh-CN"/>
        </w:rPr>
        <w:t>持平。</w:t>
      </w:r>
      <w:r>
        <w:rPr>
          <w:rFonts w:hint="eastAsia" w:ascii="仿宋" w:hAnsi="仿宋" w:eastAsia="仿宋" w:cs="仿宋"/>
          <w:sz w:val="32"/>
          <w:szCs w:val="32"/>
          <w:lang w:val="en-US" w:eastAsia="zh-CN"/>
        </w:rPr>
        <w:t xml:space="preserve"> </w:t>
      </w:r>
    </w:p>
    <w:p>
      <w:pPr>
        <w:ind w:firstLine="643" w:firstLineChars="200"/>
        <w:rPr>
          <w:rFonts w:hint="eastAsia" w:eastAsia="仿宋_GB2312"/>
          <w:b/>
          <w:bCs/>
          <w:sz w:val="32"/>
          <w:szCs w:val="32"/>
        </w:rPr>
      </w:pPr>
      <w:r>
        <w:rPr>
          <w:rFonts w:hint="eastAsia" w:eastAsia="楷体_GB2312"/>
          <w:b/>
          <w:bCs/>
          <w:sz w:val="32"/>
          <w:szCs w:val="32"/>
        </w:rPr>
        <w:t>（二）</w:t>
      </w:r>
      <w:r>
        <w:rPr>
          <w:rFonts w:hint="eastAsia" w:eastAsia="楷体_GB2312"/>
          <w:b/>
          <w:bCs/>
          <w:sz w:val="32"/>
          <w:szCs w:val="32"/>
          <w:lang w:val="en-US" w:eastAsia="zh-CN"/>
        </w:rPr>
        <w:t xml:space="preserve"> </w:t>
      </w:r>
      <w:r>
        <w:rPr>
          <w:rFonts w:hint="eastAsia" w:eastAsia="楷体_GB2312"/>
          <w:b/>
          <w:bCs/>
          <w:sz w:val="32"/>
          <w:szCs w:val="32"/>
        </w:rPr>
        <w:t>公务用车购置及运行维护费支出</w:t>
      </w:r>
      <w:r>
        <w:rPr>
          <w:rFonts w:eastAsia="楷体_GB2312"/>
          <w:b/>
          <w:bCs/>
          <w:sz w:val="32"/>
          <w:szCs w:val="32"/>
        </w:rPr>
        <w:t>11.01</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年度公务用车购置及运行维护费支出，比年初预算</w:t>
      </w:r>
      <w:r>
        <w:rPr>
          <w:rFonts w:hint="eastAsia" w:eastAsia="仿宋_GB2312"/>
          <w:sz w:val="32"/>
          <w:szCs w:val="32"/>
        </w:rPr>
        <w:t>减少</w:t>
      </w:r>
      <w:r>
        <w:rPr>
          <w:rFonts w:eastAsia="仿宋_GB2312"/>
          <w:sz w:val="32"/>
          <w:szCs w:val="32"/>
        </w:rPr>
        <w:t>50.99</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82.24%</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 w:hAnsi="仿宋" w:eastAsia="仿宋" w:cs="仿宋"/>
          <w:sz w:val="32"/>
          <w:szCs w:val="32"/>
        </w:rPr>
        <w:t>原因是</w:t>
      </w:r>
      <w:r>
        <w:rPr>
          <w:rFonts w:hint="eastAsia" w:ascii="仿宋" w:hAnsi="仿宋" w:eastAsia="仿宋" w:cs="仿宋"/>
          <w:kern w:val="0"/>
          <w:sz w:val="32"/>
          <w:szCs w:val="32"/>
        </w:rPr>
        <w:t>本着厉行节约的要求，压减三公经费支出</w:t>
      </w:r>
      <w:r>
        <w:rPr>
          <w:rFonts w:hint="eastAsia" w:eastAsia="楷体_GB2312"/>
          <w:b/>
          <w:bCs/>
          <w:sz w:val="32"/>
          <w:szCs w:val="32"/>
        </w:rPr>
        <w:t>。</w:t>
      </w:r>
      <w:r>
        <w:rPr>
          <w:rFonts w:hint="eastAsia" w:eastAsia="仿宋_GB2312"/>
          <w:b/>
          <w:bCs/>
          <w:sz w:val="32"/>
          <w:szCs w:val="32"/>
        </w:rPr>
        <w:t>其中：</w:t>
      </w:r>
    </w:p>
    <w:p>
      <w:pPr>
        <w:ind w:firstLine="643" w:firstLineChars="200"/>
        <w:rPr>
          <w:rFonts w:ascii="仿宋" w:hAnsi="仿宋" w:eastAsia="仿宋" w:cs="仿宋"/>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lang w:val="en-US" w:eastAsia="zh-CN"/>
        </w:rPr>
        <w:t>与</w:t>
      </w:r>
      <w:r>
        <w:rPr>
          <w:rFonts w:eastAsia="仿宋_GB2312"/>
          <w:sz w:val="32"/>
          <w:szCs w:val="32"/>
        </w:rPr>
        <w:t>年初预算</w:t>
      </w:r>
      <w:r>
        <w:rPr>
          <w:rFonts w:hint="eastAsia" w:eastAsia="仿宋_GB2312"/>
          <w:sz w:val="32"/>
          <w:szCs w:val="32"/>
          <w:lang w:val="en-US" w:eastAsia="zh-CN"/>
        </w:rPr>
        <w:t>持平</w:t>
      </w:r>
      <w:r>
        <w:rPr>
          <w:rFonts w:eastAsia="仿宋_GB2312"/>
          <w:sz w:val="32"/>
          <w:szCs w:val="32"/>
        </w:rPr>
        <w:t>，</w:t>
      </w:r>
      <w:r>
        <w:rPr>
          <w:rFonts w:hint="eastAsia" w:ascii="仿宋" w:hAnsi="仿宋" w:eastAsia="仿宋" w:cs="仿宋"/>
          <w:sz w:val="32"/>
          <w:szCs w:val="32"/>
        </w:rPr>
        <w:t>本部门</w:t>
      </w:r>
      <w:r>
        <w:rPr>
          <w:rFonts w:ascii="仿宋" w:hAnsi="仿宋" w:eastAsia="仿宋" w:cs="仿宋"/>
          <w:sz w:val="32"/>
          <w:szCs w:val="32"/>
        </w:rPr>
        <w:t>2018</w:t>
      </w:r>
      <w:r>
        <w:rPr>
          <w:rFonts w:hint="eastAsia" w:ascii="仿宋" w:hAnsi="仿宋" w:eastAsia="仿宋" w:cs="仿宋"/>
          <w:sz w:val="32"/>
          <w:szCs w:val="32"/>
        </w:rPr>
        <w:t>年度</w:t>
      </w:r>
      <w:r>
        <w:rPr>
          <w:rFonts w:hint="eastAsia" w:ascii="仿宋" w:hAnsi="仿宋" w:eastAsia="仿宋" w:cs="仿宋"/>
          <w:color w:val="000000"/>
          <w:sz w:val="32"/>
          <w:szCs w:val="32"/>
        </w:rPr>
        <w:t>未发生“公务用车购置”经费支出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17.79</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11.01</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8</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50.99</w:t>
      </w:r>
      <w:r>
        <w:rPr>
          <w:rFonts w:eastAsia="仿宋_GB2312"/>
          <w:sz w:val="32"/>
          <w:szCs w:val="32"/>
        </w:rPr>
        <w:t>万元，降低</w:t>
      </w:r>
      <w:r>
        <w:rPr>
          <w:rFonts w:hint="eastAsia" w:eastAsia="仿宋_GB2312"/>
          <w:sz w:val="32"/>
          <w:szCs w:val="32"/>
          <w:lang w:val="en-US" w:eastAsia="zh-CN"/>
        </w:rPr>
        <w:t>82.24</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年度决算增加减少</w:t>
      </w:r>
      <w:r>
        <w:rPr>
          <w:rFonts w:hint="eastAsia" w:eastAsia="仿宋_GB2312"/>
          <w:sz w:val="32"/>
          <w:szCs w:val="32"/>
          <w:lang w:val="en-US" w:eastAsia="zh-CN"/>
        </w:rPr>
        <w:t>23.21</w:t>
      </w:r>
      <w:r>
        <w:rPr>
          <w:rFonts w:eastAsia="仿宋_GB2312"/>
          <w:sz w:val="32"/>
          <w:szCs w:val="32"/>
        </w:rPr>
        <w:t>万元，降低</w:t>
      </w:r>
      <w:r>
        <w:rPr>
          <w:rFonts w:hint="eastAsia" w:eastAsia="仿宋_GB2312"/>
          <w:sz w:val="32"/>
          <w:szCs w:val="32"/>
          <w:lang w:val="en-US" w:eastAsia="zh-CN"/>
        </w:rPr>
        <w:t>66.29</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5.045</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17</w:t>
      </w:r>
      <w:r>
        <w:rPr>
          <w:rFonts w:eastAsia="仿宋_GB2312"/>
          <w:sz w:val="32"/>
          <w:szCs w:val="32"/>
        </w:rPr>
        <w:t>批次、</w:t>
      </w:r>
      <w:r>
        <w:rPr>
          <w:rFonts w:hint="eastAsia" w:eastAsia="仿宋_GB2312"/>
          <w:sz w:val="32"/>
          <w:szCs w:val="32"/>
          <w:lang w:val="en-US" w:eastAsia="zh-CN"/>
        </w:rPr>
        <w:t>205</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29.95</w:t>
      </w:r>
      <w:r>
        <w:rPr>
          <w:rFonts w:eastAsia="仿宋_GB2312"/>
          <w:sz w:val="32"/>
          <w:szCs w:val="32"/>
        </w:rPr>
        <w:t>万元，降低</w:t>
      </w:r>
      <w:r>
        <w:rPr>
          <w:rFonts w:hint="eastAsia" w:eastAsia="仿宋_GB2312"/>
          <w:sz w:val="32"/>
          <w:szCs w:val="32"/>
          <w:lang w:val="en-US" w:eastAsia="zh-CN"/>
        </w:rPr>
        <w:t>85.57</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w:t>
      </w:r>
      <w:r>
        <w:rPr>
          <w:rFonts w:hint="eastAsia" w:ascii="仿宋" w:hAnsi="仿宋" w:eastAsia="仿宋" w:cs="仿宋"/>
          <w:kern w:val="0"/>
          <w:sz w:val="32"/>
          <w:szCs w:val="32"/>
          <w:lang w:val="en-US" w:eastAsia="zh-CN"/>
        </w:rPr>
        <w:t>三公</w:t>
      </w:r>
      <w:r>
        <w:rPr>
          <w:rFonts w:hint="eastAsia" w:ascii="仿宋" w:hAnsi="仿宋" w:eastAsia="仿宋" w:cs="仿宋"/>
          <w:kern w:val="0"/>
          <w:sz w:val="32"/>
          <w:szCs w:val="32"/>
        </w:rPr>
        <w:t>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126.33</w:t>
      </w:r>
      <w:r>
        <w:rPr>
          <w:rFonts w:eastAsia="仿宋_GB2312"/>
          <w:sz w:val="32"/>
          <w:szCs w:val="32"/>
        </w:rPr>
        <w:t>万元，降低</w:t>
      </w:r>
      <w:r>
        <w:rPr>
          <w:rFonts w:hint="eastAsia" w:eastAsia="仿宋_GB2312"/>
          <w:sz w:val="32"/>
          <w:szCs w:val="32"/>
          <w:lang w:val="en-US" w:eastAsia="zh-CN"/>
        </w:rPr>
        <w:t>96.16</w:t>
      </w:r>
      <w:r>
        <w:rPr>
          <w:rFonts w:eastAsia="仿宋_GB2312"/>
          <w:sz w:val="32"/>
          <w:szCs w:val="32"/>
        </w:rPr>
        <w:t>%，主要是</w:t>
      </w:r>
      <w:r>
        <w:rPr>
          <w:rFonts w:hint="eastAsia" w:ascii="仿宋" w:hAnsi="仿宋" w:eastAsia="仿宋" w:cs="仿宋"/>
          <w:sz w:val="32"/>
          <w:szCs w:val="32"/>
        </w:rPr>
        <w:t>厉行节约</w:t>
      </w:r>
      <w:r>
        <w:rPr>
          <w:rFonts w:hint="eastAsia" w:ascii="仿宋" w:hAnsi="仿宋" w:eastAsia="仿宋" w:cs="仿宋"/>
          <w:kern w:val="0"/>
          <w:sz w:val="32"/>
          <w:szCs w:val="32"/>
        </w:rPr>
        <w:t>压减三公经费支出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（一）预算绩效管理工作开展情况。</w:t>
      </w:r>
    </w:p>
    <w:p>
      <w:pPr>
        <w:pStyle w:val="16"/>
        <w:ind w:firstLine="524" w:firstLineChars="16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参谋协调运转：保障县委办公室大型会议、重大活动的正常、顺利举办；保障县委公文正常运转。</w:t>
      </w:r>
    </w:p>
    <w:p>
      <w:pPr>
        <w:pStyle w:val="1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公文运转：改进公文办理、规范流程，公文审核严谨高效，增强县委文件的权威性，加强文稿前期介入，打造精品文稿。</w:t>
      </w:r>
    </w:p>
    <w:p>
      <w:pPr>
        <w:pStyle w:val="1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协调县委大型会议和活动：加强重要会议的统筹协调，精心谋划组织好全县性重大会议活，县委主要领导参加的重要会议活动，要从严从细谋划安排。</w:t>
      </w:r>
    </w:p>
    <w:p>
      <w:pPr>
        <w:pStyle w:val="16"/>
        <w:rPr>
          <w:rFonts w:hint="eastAsia" w:ascii="Times New Roman" w:hAnsi="Times New Roman" w:eastAsia="仿宋_GB2312" w:cs="Times New Roman"/>
          <w:kern w:val="2"/>
          <w:sz w:val="32"/>
          <w:szCs w:val="32"/>
          <w:lang w:val="en-US" w:eastAsia="zh-CN" w:bidi="ar-SA"/>
        </w:rPr>
      </w:pPr>
      <w:r>
        <w:rPr>
          <w:rFonts w:cs="仿宋_GB2312"/>
          <w:bCs/>
          <w:sz w:val="32"/>
          <w:szCs w:val="32"/>
          <w:lang w:eastAsia="zh-CN"/>
        </w:rPr>
        <w:t xml:space="preserve">    </w:t>
      </w:r>
      <w:r>
        <w:rPr>
          <w:rFonts w:hint="eastAsia" w:ascii="Times New Roman" w:hAnsi="Times New Roman" w:eastAsia="仿宋_GB2312" w:cs="Times New Roman"/>
          <w:kern w:val="2"/>
          <w:sz w:val="32"/>
          <w:szCs w:val="32"/>
          <w:lang w:val="en-US" w:eastAsia="zh-CN" w:bidi="ar-SA"/>
        </w:rPr>
        <w:t>会务接待：严格执行中央八项规定，坚持热情周到、简洁简朴。严格执行接待标准、降低接待规模。</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信息收集及民意调查：通过界别渠道密切联系群众，反映社情民意，努力做到协调关系、化解矛盾、理顺情绪，增进社会各阶层不同利益群众的和谐和稳定。</w:t>
      </w:r>
    </w:p>
    <w:p>
      <w:pPr>
        <w:pStyle w:val="16"/>
        <w:rPr>
          <w:rFonts w:hint="eastAsia" w:ascii="Times New Roman" w:hAnsi="Times New Roman" w:eastAsia="仿宋_GB2312" w:cs="Times New Roman"/>
          <w:kern w:val="2"/>
          <w:sz w:val="32"/>
          <w:szCs w:val="32"/>
          <w:lang w:val="en-US" w:eastAsia="zh-CN" w:bidi="ar-SA"/>
        </w:rPr>
      </w:pPr>
      <w:r>
        <w:rPr>
          <w:rFonts w:cs="仿宋_GB2312"/>
          <w:bCs/>
          <w:sz w:val="32"/>
          <w:szCs w:val="32"/>
          <w:lang w:eastAsia="zh-CN"/>
        </w:rPr>
        <w:t xml:space="preserve">   </w:t>
      </w:r>
      <w:r>
        <w:rPr>
          <w:rFonts w:hint="eastAsia" w:ascii="Times New Roman" w:hAnsi="Times New Roman" w:eastAsia="仿宋_GB2312" w:cs="Times New Roman"/>
          <w:kern w:val="2"/>
          <w:sz w:val="32"/>
          <w:szCs w:val="32"/>
          <w:lang w:val="en-US" w:eastAsia="zh-CN" w:bidi="ar-SA"/>
        </w:rPr>
        <w:t>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全县党委系统公务内网建设：数据资源丰富、数据正版、权威可靠，用户满意度高。线路畅通，系统运行稳定。</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公务内网建设与维护：数据资源丰富、数据正版、权威可靠，用户满意度高。线路畅通，系统运行稳定。</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保密管理工作及保密科技监管：你听过属涉密事项，无绩效目标。</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防范打击处理邪教：确保实现“七个不发生”目标。</w:t>
      </w:r>
    </w:p>
    <w:p>
      <w:pPr>
        <w:pStyle w:val="16"/>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值班工作规范化建设：严格按照省市要求，提高全县值班工作规范化水平。</w:t>
      </w:r>
    </w:p>
    <w:p>
      <w:pPr>
        <w:pStyle w:val="16"/>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 xml:space="preserve">    党风廉政建设：实行例会制度，建立工作台账，健全完善全县各级主体办。协调落实全县主体责任考核评价工作。</w:t>
      </w:r>
    </w:p>
    <w:p>
      <w:pPr>
        <w:pStyle w:val="16"/>
        <w:ind w:firstLine="66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全面深化改革工作：促进全县全面深化改革工作要点和重要改革举措施完成，确保上级深化改革政措施的贯彻落实。</w:t>
      </w:r>
    </w:p>
    <w:p>
      <w:pPr>
        <w:pStyle w:val="16"/>
        <w:ind w:firstLine="66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综合事务管理：保障机关工作任务高质高效完成。</w:t>
      </w:r>
    </w:p>
    <w:p>
      <w:pPr>
        <w:numPr>
          <w:ilvl w:val="0"/>
          <w:numId w:val="4"/>
        </w:numPr>
        <w:adjustRightInd w:val="0"/>
        <w:snapToGrid w:val="0"/>
        <w:spacing w:after="0" w:line="580" w:lineRule="exact"/>
        <w:ind w:firstLine="640" w:firstLineChars="200"/>
        <w:rPr>
          <w:rFonts w:ascii="仿宋_GB2312" w:eastAsia="仿宋_GB2312" w:cs="DengXian-Regular"/>
          <w:sz w:val="32"/>
          <w:szCs w:val="32"/>
        </w:rPr>
      </w:pPr>
      <w:r>
        <w:rPr>
          <w:rFonts w:hint="eastAsia" w:ascii="Times New Roman" w:hAnsi="Times New Roman" w:eastAsia="仿宋_GB2312" w:cs="Times New Roman"/>
          <w:kern w:val="2"/>
          <w:sz w:val="32"/>
          <w:szCs w:val="32"/>
          <w:lang w:val="en-US" w:eastAsia="zh-CN" w:bidi="ar-SA"/>
        </w:rPr>
        <w:t>项目绩效自评结果</w:t>
      </w:r>
      <w:r>
        <w:rPr>
          <w:rFonts w:hint="eastAsia" w:ascii="仿宋_GB2312" w:eastAsia="仿宋_GB2312" w:cs="DengXian-Regular"/>
          <w:sz w:val="32"/>
          <w:szCs w:val="32"/>
        </w:rPr>
        <w:t>。</w:t>
      </w:r>
    </w:p>
    <w:p>
      <w:pPr>
        <w:tabs>
          <w:tab w:val="left" w:pos="0"/>
        </w:tabs>
        <w:adjustRightInd w:val="0"/>
        <w:snapToGrid w:val="0"/>
        <w:spacing w:after="0" w:line="580" w:lineRule="exact"/>
        <w:ind w:left="420" w:left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保障县委办公室大型会议、重大活动的正常、顺利举办；保障县委公文正常运转。</w:t>
      </w:r>
    </w:p>
    <w:p>
      <w:pPr>
        <w:pStyle w:val="16"/>
        <w:ind w:firstLine="480" w:firstLineChars="15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加强重要会议的统筹协调，精心谋划组织好全县性重大会议活，县委主要领导参加的重要会议活动，要从严从细谋划安排。</w:t>
      </w:r>
    </w:p>
    <w:p>
      <w:pPr>
        <w:pStyle w:val="16"/>
        <w:ind w:firstLine="480" w:firstLineChars="15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16"/>
        <w:ind w:firstLine="480" w:firstLineChars="15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通过界别渠道密切联系群众，反映社情民意，努力做到协调关系、化解矛盾、理顺情绪，增进社会各阶层不同利益群众的和谐和稳定。</w:t>
      </w:r>
    </w:p>
    <w:p>
      <w:pPr>
        <w:pStyle w:val="16"/>
        <w:ind w:firstLine="480" w:firstLineChars="15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r>
        <w:rPr>
          <w:rFonts w:hint="eastAsia" w:cs="仿宋_GB2312"/>
          <w:bCs/>
          <w:sz w:val="32"/>
          <w:szCs w:val="32"/>
          <w:lang w:eastAsia="zh-CN"/>
        </w:rPr>
        <w:t>。</w:t>
      </w:r>
    </w:p>
    <w:p>
      <w:pPr>
        <w:pStyle w:val="16"/>
        <w:ind w:firstLine="640" w:firstLineChars="200"/>
        <w:rPr>
          <w:rFonts w:cs="仿宋_GB2312"/>
          <w:bCs/>
          <w:sz w:val="32"/>
          <w:szCs w:val="32"/>
          <w:lang w:eastAsia="zh-CN"/>
        </w:rPr>
      </w:pPr>
      <w:r>
        <w:rPr>
          <w:rFonts w:hint="eastAsia" w:ascii="Times New Roman" w:hAnsi="Times New Roman" w:eastAsia="仿宋_GB2312" w:cs="Times New Roman"/>
          <w:kern w:val="2"/>
          <w:sz w:val="32"/>
          <w:szCs w:val="32"/>
          <w:lang w:val="en-US" w:eastAsia="zh-CN" w:bidi="ar-SA"/>
        </w:rPr>
        <w:t>实行例会制度，建立工作台账，健全完善全县各级主体办。协调落实全县主体责任考核评价工作</w:t>
      </w:r>
      <w:r>
        <w:rPr>
          <w:rFonts w:hint="eastAsia" w:cs="仿宋_GB2312"/>
          <w:bCs/>
          <w:sz w:val="32"/>
          <w:szCs w:val="32"/>
          <w:lang w:eastAsia="zh-CN"/>
        </w:rPr>
        <w:t>。</w:t>
      </w:r>
    </w:p>
    <w:p>
      <w:pPr>
        <w:pStyle w:val="16"/>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促进全县全面深化改革工作要点和重要改革举措施完成，确保上级深化改革政措施的贯彻落实。</w:t>
      </w:r>
    </w:p>
    <w:p>
      <w:pPr>
        <w:pStyle w:val="16"/>
        <w:ind w:firstLine="640" w:firstLineChars="200"/>
        <w:rPr>
          <w:rFonts w:ascii="仿宋_GB2312" w:eastAsia="仿宋_GB2312" w:cs="DengXian-Regular"/>
          <w:sz w:val="32"/>
          <w:szCs w:val="32"/>
        </w:rPr>
      </w:pPr>
      <w:r>
        <w:rPr>
          <w:rFonts w:hint="eastAsia" w:ascii="Times New Roman" w:hAnsi="Times New Roman" w:eastAsia="仿宋_GB2312" w:cs="Times New Roman"/>
          <w:kern w:val="2"/>
          <w:sz w:val="32"/>
          <w:szCs w:val="32"/>
          <w:lang w:val="en-US" w:eastAsia="zh-CN" w:bidi="ar-SA"/>
        </w:rPr>
        <w:t>保障机关工作任务高质高效完成</w:t>
      </w:r>
      <w:r>
        <w:rPr>
          <w:rFonts w:hint="eastAsia" w:cs="仿宋_GB2312"/>
          <w:bCs/>
          <w:sz w:val="32"/>
          <w:szCs w:val="32"/>
          <w:lang w:eastAsia="zh-CN"/>
        </w:rPr>
        <w:t>。</w:t>
      </w:r>
    </w:p>
    <w:p>
      <w:pPr>
        <w:numPr>
          <w:ilvl w:val="0"/>
          <w:numId w:val="4"/>
        </w:numPr>
        <w:adjustRightInd w:val="0"/>
        <w:snapToGrid w:val="0"/>
        <w:spacing w:after="0" w:line="580" w:lineRule="exact"/>
        <w:ind w:firstLine="640" w:firstLineChars="200"/>
        <w:jc w:val="both"/>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ind w:firstLine="640"/>
        <w:rPr>
          <w:rFonts w:ascii="仿宋_GB2312" w:eastAsia="仿宋_GB2312" w:cs="DengXian-Regular"/>
          <w:sz w:val="32"/>
          <w:szCs w:val="32"/>
        </w:rPr>
      </w:pPr>
      <w:r>
        <w:rPr>
          <w:rFonts w:hint="eastAsia" w:ascii="仿宋_GB2312" w:hAnsi="仿宋_GB2312" w:eastAsia="仿宋_GB2312" w:cs="仿宋_GB2312"/>
          <w:sz w:val="32"/>
          <w:szCs w:val="32"/>
        </w:rPr>
        <w:t>根据县财政预算绩效管理要求从，</w:t>
      </w:r>
      <w:r>
        <w:rPr>
          <w:rFonts w:hint="eastAsia" w:ascii="仿宋_GB2312" w:hAnsi="仿宋_GB2312" w:eastAsia="仿宋_GB2312" w:cs="仿宋_GB2312"/>
          <w:sz w:val="32"/>
          <w:szCs w:val="32"/>
          <w:lang w:val="en-US" w:eastAsia="zh-CN"/>
        </w:rPr>
        <w:t>大城县委</w:t>
      </w:r>
      <w:r>
        <w:rPr>
          <w:rFonts w:hint="eastAsia" w:ascii="仿宋_GB2312" w:hAnsi="仿宋_GB2312" w:eastAsia="仿宋_GB2312" w:cs="仿宋_GB2312"/>
          <w:sz w:val="32"/>
          <w:szCs w:val="32"/>
        </w:rPr>
        <w:t>办公室以“部门职责-工作活动”为依据，确定部门预算项目和预算额度，清晰描述预算项目开支范围和内容，确定预算项目的绩效目标、绩效指标和评价标准，为预算绩效控制、绩效分析、绩效评价打下良好的基础。</w:t>
      </w:r>
    </w:p>
    <w:p>
      <w:pPr>
        <w:numPr>
          <w:ilvl w:val="0"/>
          <w:numId w:val="5"/>
        </w:num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建档立卡贫困户扶贫帮扶专项经费项目自评综述：根据年初设定的绩效目标，建档立卡贫困户扶贫帮扶专项经费项目绩效自评得分为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分。全年预算数为</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绩效自评等级为“优”。</w:t>
      </w:r>
    </w:p>
    <w:p>
      <w:pPr>
        <w:numPr>
          <w:ilvl w:val="0"/>
          <w:numId w:val="5"/>
        </w:num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党政网信道租费经费项目自评综述：根据年初设定的绩效目标，党政网信道租费经费项目绩效自评得分为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分。全年预算数为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绩效自评等级为“优”。</w:t>
      </w:r>
    </w:p>
    <w:p>
      <w:pPr>
        <w:numPr>
          <w:ilvl w:val="0"/>
          <w:numId w:val="0"/>
        </w:numPr>
        <w:tabs>
          <w:tab w:val="left" w:pos="0"/>
        </w:tabs>
        <w:adjustRightInd w:val="0"/>
        <w:snapToGrid w:val="0"/>
        <w:spacing w:after="0" w:line="580" w:lineRule="exact"/>
        <w:jc w:val="both"/>
        <w:rPr>
          <w:rFonts w:ascii="仿宋_GB2312" w:eastAsia="仿宋_GB2312" w:cs="DengXian-Regular"/>
          <w:sz w:val="32"/>
          <w:szCs w:val="32"/>
        </w:rPr>
      </w:pPr>
    </w:p>
    <w:tbl>
      <w:tblPr>
        <w:tblStyle w:val="8"/>
        <w:tblW w:w="10040" w:type="dxa"/>
        <w:jc w:val="center"/>
        <w:tblLayout w:type="fixed"/>
        <w:tblCellMar>
          <w:top w:w="0" w:type="dxa"/>
          <w:left w:w="108" w:type="dxa"/>
          <w:bottom w:w="0" w:type="dxa"/>
          <w:right w:w="108" w:type="dxa"/>
        </w:tblCellMar>
      </w:tblPr>
      <w:tblGrid>
        <w:gridCol w:w="1115"/>
        <w:gridCol w:w="2100"/>
        <w:gridCol w:w="2835"/>
        <w:gridCol w:w="840"/>
        <w:gridCol w:w="840"/>
        <w:gridCol w:w="153"/>
        <w:gridCol w:w="582"/>
        <w:gridCol w:w="735"/>
        <w:gridCol w:w="840"/>
      </w:tblGrid>
      <w:tr>
        <w:tblPrEx>
          <w:tblCellMar>
            <w:top w:w="0" w:type="dxa"/>
            <w:left w:w="108" w:type="dxa"/>
            <w:bottom w:w="0" w:type="dxa"/>
            <w:right w:w="108" w:type="dxa"/>
          </w:tblCellMar>
        </w:tblPrEx>
        <w:trPr>
          <w:trHeight w:val="227" w:hRule="atLeast"/>
          <w:tblHeader/>
          <w:jc w:val="center"/>
        </w:trPr>
        <w:tc>
          <w:tcPr>
            <w:tcW w:w="7883" w:type="dxa"/>
            <w:gridSpan w:val="6"/>
            <w:vAlign w:val="center"/>
          </w:tcPr>
          <w:p>
            <w:pPr>
              <w:spacing w:line="300" w:lineRule="exact"/>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中共河北省大城县委办公室</w:t>
            </w:r>
          </w:p>
        </w:tc>
        <w:tc>
          <w:tcPr>
            <w:tcW w:w="2157" w:type="dxa"/>
            <w:gridSpan w:val="3"/>
            <w:vAlign w:val="center"/>
          </w:tcPr>
          <w:p>
            <w:pPr>
              <w:spacing w:line="300" w:lineRule="exact"/>
              <w:ind w:right="640"/>
              <w:rPr>
                <w:rFonts w:ascii="仿宋" w:hAnsi="仿宋" w:eastAsia="仿宋"/>
                <w:sz w:val="32"/>
                <w:szCs w:val="32"/>
              </w:rPr>
            </w:pPr>
            <w:r>
              <w:rPr>
                <w:rFonts w:hint="eastAsia" w:ascii="仿宋" w:hAnsi="仿宋" w:eastAsia="仿宋"/>
                <w:sz w:val="32"/>
                <w:szCs w:val="32"/>
              </w:rPr>
              <w:t>单位：万元</w:t>
            </w:r>
          </w:p>
        </w:tc>
      </w:tr>
      <w:tr>
        <w:tblPrEx>
          <w:tblCellMar>
            <w:top w:w="0" w:type="dxa"/>
            <w:left w:w="108" w:type="dxa"/>
            <w:bottom w:w="0" w:type="dxa"/>
            <w:right w:w="108" w:type="dxa"/>
          </w:tblCellMar>
        </w:tblPrEx>
        <w:trPr>
          <w:trHeight w:val="227" w:hRule="atLeast"/>
          <w:tblHeader/>
          <w:jc w:val="center"/>
        </w:trPr>
        <w:tc>
          <w:tcPr>
            <w:tcW w:w="111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职责活动</w:t>
            </w:r>
          </w:p>
        </w:tc>
        <w:tc>
          <w:tcPr>
            <w:tcW w:w="210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内容描述</w:t>
            </w:r>
          </w:p>
        </w:tc>
        <w:tc>
          <w:tcPr>
            <w:tcW w:w="283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绩效目标</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绩效指标</w:t>
            </w:r>
          </w:p>
        </w:tc>
        <w:tc>
          <w:tcPr>
            <w:tcW w:w="3150"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评价标准</w:t>
            </w:r>
          </w:p>
        </w:tc>
      </w:tr>
      <w:tr>
        <w:tblPrEx>
          <w:tblCellMar>
            <w:top w:w="0" w:type="dxa"/>
            <w:left w:w="108" w:type="dxa"/>
            <w:bottom w:w="0" w:type="dxa"/>
            <w:right w:w="108" w:type="dxa"/>
          </w:tblCellMar>
        </w:tblPrEx>
        <w:trPr>
          <w:trHeight w:val="227" w:hRule="atLeast"/>
          <w:tblHeader/>
          <w:jc w:val="center"/>
        </w:trPr>
        <w:tc>
          <w:tcPr>
            <w:tcW w:w="1115"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2100"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2835"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840"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after="0" w:line="240" w:lineRule="auto"/>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优</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良</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中</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差</w:t>
            </w:r>
          </w:p>
        </w:tc>
      </w:tr>
      <w:tr>
        <w:tblPrEx>
          <w:tblCellMar>
            <w:top w:w="0" w:type="dxa"/>
            <w:left w:w="108" w:type="dxa"/>
            <w:bottom w:w="0" w:type="dxa"/>
            <w:right w:w="108" w:type="dxa"/>
          </w:tblCellMar>
        </w:tblPrEx>
        <w:trPr>
          <w:trHeight w:val="2003"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一、参谋协调运转</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县委公文运转、大型会议和活动组织安排、公务接待等。</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保障县委办公室大型会议、重大活动的正常、顺利举办；保障县委公文正常运转。</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p>
        </w:tc>
      </w:tr>
      <w:tr>
        <w:tblPrEx>
          <w:tblCellMar>
            <w:top w:w="0" w:type="dxa"/>
            <w:left w:w="108" w:type="dxa"/>
            <w:bottom w:w="0" w:type="dxa"/>
            <w:right w:w="108" w:type="dxa"/>
          </w:tblCellMar>
        </w:tblPrEx>
        <w:trPr>
          <w:trHeight w:val="2808"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、公文运转</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承担县委、县委领导同志交办的文件、讲话稿的起草或修改工作；县委文件和县委办公室代县委行文的核审工作；党刊党史编辑工作。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改进公文办理，规范流程，做到零停留、无差错。公文审核严谨高效，增强县委文件的权威性。加强文稿前期介入，打造精品文稿。</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党刊党史编辑工作完成率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以下</w:t>
            </w:r>
          </w:p>
        </w:tc>
      </w:tr>
      <w:tr>
        <w:tblPrEx>
          <w:tblCellMar>
            <w:top w:w="0" w:type="dxa"/>
            <w:left w:w="108" w:type="dxa"/>
            <w:bottom w:w="0" w:type="dxa"/>
            <w:right w:w="108" w:type="dxa"/>
          </w:tblCellMar>
        </w:tblPrEx>
        <w:trPr>
          <w:trHeight w:val="154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发文核审差错率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&lt;0.5%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&lt;1%</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&lt;2%</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p>
        </w:tc>
      </w:tr>
      <w:tr>
        <w:tblPrEx>
          <w:tblCellMar>
            <w:top w:w="0" w:type="dxa"/>
            <w:left w:w="108" w:type="dxa"/>
            <w:bottom w:w="0" w:type="dxa"/>
            <w:right w:w="108" w:type="dxa"/>
          </w:tblCellMar>
        </w:tblPrEx>
        <w:trPr>
          <w:trHeight w:val="1079"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公文流转速度</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以下</w:t>
            </w:r>
          </w:p>
        </w:tc>
      </w:tr>
      <w:tr>
        <w:tblPrEx>
          <w:tblCellMar>
            <w:top w:w="0" w:type="dxa"/>
            <w:left w:w="108" w:type="dxa"/>
            <w:bottom w:w="0" w:type="dxa"/>
            <w:right w:w="108" w:type="dxa"/>
          </w:tblCellMar>
        </w:tblPrEx>
        <w:trPr>
          <w:trHeight w:val="1221"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文稿起草工作完成量</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55%</w:t>
            </w:r>
            <w:r>
              <w:rPr>
                <w:rFonts w:hint="eastAsia" w:ascii="仿宋" w:hAnsi="仿宋" w:eastAsia="仿宋"/>
                <w:sz w:val="32"/>
                <w:szCs w:val="32"/>
              </w:rPr>
              <w:t>以下</w:t>
            </w:r>
          </w:p>
        </w:tc>
      </w:tr>
      <w:tr>
        <w:tblPrEx>
          <w:tblCellMar>
            <w:top w:w="0" w:type="dxa"/>
            <w:left w:w="108" w:type="dxa"/>
            <w:bottom w:w="0" w:type="dxa"/>
            <w:right w:w="108" w:type="dxa"/>
          </w:tblCellMar>
        </w:tblPrEx>
        <w:trPr>
          <w:trHeight w:val="2794"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、协调县委大型会议和活动</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县委各种会议的会务工作和县委日常工作活动的组织安排。</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加强县级层面重要会议活动的统筹协调，精心谋划组织好全县性重大会议活动，县委主要领导参加的重要会议活动，要从严从细谋划安排</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大型会议控制率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0.5%</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0.3%</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&lt;0.3%</w:t>
            </w:r>
          </w:p>
        </w:tc>
      </w:tr>
      <w:tr>
        <w:tblPrEx>
          <w:tblCellMar>
            <w:top w:w="0" w:type="dxa"/>
            <w:left w:w="108" w:type="dxa"/>
            <w:bottom w:w="0" w:type="dxa"/>
            <w:right w:w="108" w:type="dxa"/>
          </w:tblCellMar>
        </w:tblPrEx>
        <w:trPr>
          <w:trHeight w:val="1075"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重大工作参与率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90%</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85%</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2"/>
                <w:szCs w:val="32"/>
              </w:rPr>
            </w:pPr>
            <w:r>
              <w:rPr>
                <w:rFonts w:ascii="仿宋" w:hAnsi="仿宋" w:eastAsia="仿宋"/>
                <w:sz w:val="32"/>
                <w:szCs w:val="32"/>
              </w:rPr>
              <w:t>&lt;50%</w:t>
            </w:r>
          </w:p>
        </w:tc>
      </w:tr>
      <w:tr>
        <w:tblPrEx>
          <w:tblCellMar>
            <w:top w:w="0" w:type="dxa"/>
            <w:left w:w="108" w:type="dxa"/>
            <w:bottom w:w="0" w:type="dxa"/>
            <w:right w:w="108" w:type="dxa"/>
          </w:tblCellMar>
        </w:tblPrEx>
        <w:trPr>
          <w:trHeight w:val="263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、会务接待</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负责省市领导和兄弟县市（区）党委领导同志，以及办公室系统的接待服务工作；负责县委领导同志交办的其他接待任务。</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严格执行中央八项规定，坚持热情周到、简洁简朴。严格执行接待标准、降低接待费规模。</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接待费控制率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90%</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&lt;70%</w:t>
            </w:r>
          </w:p>
        </w:tc>
      </w:tr>
      <w:tr>
        <w:tblPrEx>
          <w:tblCellMar>
            <w:top w:w="0" w:type="dxa"/>
            <w:left w:w="108" w:type="dxa"/>
            <w:bottom w:w="0" w:type="dxa"/>
            <w:right w:w="108" w:type="dxa"/>
          </w:tblCellMar>
        </w:tblPrEx>
        <w:trPr>
          <w:trHeight w:val="1864"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会务接待工作完成率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4181"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二、信息收集和督查调研</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围绕省市、县委总体工作部署开展综合调研，收集和处理信息、反映动态；承担省市、县委重要工作部署贯彻落实的督导检查，省市和县委领导同志批示件的传达和催办落实。</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、信息收集及民意调查</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党委系统信息工作的组织、协调和指导。围绕省市、县委的重大决策部署收集、整理和反馈信息；信息发布和联络工作；社情民意调查；全县党委系统信息网络的协调和指导工作。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通过界别渠道密切联系群众，反映社情民意，努力做到协调关系、化解矛盾、理顺情绪，增进社会各阶层不同利益群体的和谐和稳定。</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全县党委系统信息网络协调和指导工作完成率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社情民意反映率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宣传报道完成率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&lt;70%</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、督查调研</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省市、县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督查督办按时办结率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014"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重大决策部署落实的调研工作完成率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三、全县党委系统公务内网建设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全县党委系统公务内网建设与维护。</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数据资源丰富、数据正版、权威可靠，用户满意度高。线路畅通，系统运行稳定。</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、公务内网建设与维护</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全县公务内网的建设和管理；计算机信息网络建设的技术开发、指导和培训；组织协调各类信息资源的上网和扩充，保障网络和信息安全。</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数据资源丰富、数据正版、权威可靠，用户满意度高。线路畅通，系统运行稳定。</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网络正常运转保障时间</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网络信息安全保障情况</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全县公务内网的建设管理工作完成率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768"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内容条目更新速度</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493"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四、保密管理</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承担县委保密委员会的日常工作。全县保密管理工作；全县保密宣传教育、督促检查、协调工作；对重大失泄密事件的组织查处，保密干部培训，保密技术防范。</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涉密</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、保密工作及保密科技监管</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承担县委保密委员会的日常工作。全县保密管理工作，制定并组织实施保密工作的地方性法规、督促检查、协调工作；对重大失泄密事件的组织查处，保密干部培训，保密技术防范；组织研制、开发、推广保密技术应用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涉密</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涉密</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五、防范打击处理邪教</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防范打击处理法轮功、门徒会、全能神等各类邪教组织捣乱破坏活动。</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确保实现七个不发生目标。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、防范打击处理邪教</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防范法轮功和其它邪教组织捣乱、破坏活动，打击法轮功和其它邪教组织重点人员，教育转化法轮功和其它邪教组织的痴迷人员使其回归正常社会生活，广泛开展反邪教宣传教育活动，挤压邪教组织的生存空间。</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实现七个不发生</w:t>
            </w:r>
            <w:bookmarkStart w:id="0" w:name="_GoBack"/>
            <w:bookmarkEnd w:id="0"/>
            <w:r>
              <w:rPr>
                <w:rFonts w:hint="eastAsia" w:ascii="仿宋" w:hAnsi="仿宋" w:eastAsia="仿宋"/>
                <w:sz w:val="30"/>
                <w:szCs w:val="30"/>
              </w:rPr>
              <w:t>目标。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邪教活动发生率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六、值班工作规范化建设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督导、检查、推动全县值班工作，组织开展值班业务培训，做好县委和各乡镇（区、处）、县直各单位值班工作规范化建设。</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严格按照省市要求，提高全县值班工作规范化水平。</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、值班工作规范化建设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督导、检查、推动全县值班工作，组织开展值班业务培训，做好县委和各乡镇（区、处）、县直各单位值班工作规范化建设。</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严格按照省市要求，提高全县值班工作规范化水平。</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乡镇（区）值班工作规范化达标率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七、党风廉政建设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负责全县落实党风廉政建设主体责任相关文稿起草、制定规章制度、组织实施、督导落实、阶段性总结、考核评价等各项工作。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确保全县党风廉政建设主体责任各项工作落实到位。</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、党风廉政建设</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督促检查、跟踪问效各级各部门主体责任落实情况，及时掌握全县主体责任工作进度，确保全县党员干部严格按照中央八项规定、市委八条禁令开展工作、学习、生活。</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、实行例会制度。</w:t>
            </w:r>
            <w:r>
              <w:rPr>
                <w:rFonts w:ascii="仿宋" w:hAnsi="仿宋" w:eastAsia="仿宋"/>
                <w:sz w:val="30"/>
                <w:szCs w:val="30"/>
              </w:rPr>
              <w:t>2</w:t>
            </w:r>
            <w:r>
              <w:rPr>
                <w:rFonts w:hint="eastAsia" w:ascii="仿宋" w:hAnsi="仿宋" w:eastAsia="仿宋"/>
                <w:sz w:val="30"/>
                <w:szCs w:val="30"/>
              </w:rPr>
              <w:t>、建立工作台账。</w:t>
            </w:r>
            <w:r>
              <w:rPr>
                <w:rFonts w:ascii="仿宋" w:hAnsi="仿宋" w:eastAsia="仿宋"/>
                <w:sz w:val="30"/>
                <w:szCs w:val="30"/>
              </w:rPr>
              <w:t>3</w:t>
            </w:r>
            <w:r>
              <w:rPr>
                <w:rFonts w:hint="eastAsia" w:ascii="仿宋" w:hAnsi="仿宋" w:eastAsia="仿宋"/>
                <w:sz w:val="30"/>
                <w:szCs w:val="30"/>
              </w:rPr>
              <w:t>、健全完善全县各级主体办。</w:t>
            </w:r>
            <w:r>
              <w:rPr>
                <w:rFonts w:ascii="仿宋" w:hAnsi="仿宋" w:eastAsia="仿宋"/>
                <w:sz w:val="30"/>
                <w:szCs w:val="30"/>
              </w:rPr>
              <w:t>4</w:t>
            </w:r>
            <w:r>
              <w:rPr>
                <w:rFonts w:hint="eastAsia" w:ascii="仿宋" w:hAnsi="仿宋" w:eastAsia="仿宋"/>
                <w:sz w:val="30"/>
                <w:szCs w:val="30"/>
              </w:rPr>
              <w:t>、协调落实全县主体责任考核评价工作。</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2"/>
                <w:szCs w:val="32"/>
              </w:rPr>
            </w:pPr>
            <w:r>
              <w:rPr>
                <w:rFonts w:hint="eastAsia" w:ascii="仿宋" w:hAnsi="仿宋" w:eastAsia="仿宋"/>
                <w:sz w:val="32"/>
                <w:szCs w:val="32"/>
              </w:rPr>
              <w:t>八、全面深化改革工作</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组织开展大城县全面深化改革重大问题的政策研究，统筹协调有关方面提出改革方案和措施、方法、步骤，负责向市委改革办汇报有关工作。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促进全县全面深化改革工作要点和重要改革举措完成，确保中央、省、市委深化改革政措施的贯彻落实。</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宋体"/>
                <w:sz w:val="32"/>
                <w:szCs w:val="32"/>
              </w:rPr>
            </w:pPr>
            <w:r>
              <w:rPr>
                <w:rFonts w:hint="eastAsia" w:ascii="宋体" w:hAnsi="宋体"/>
                <w:sz w:val="32"/>
                <w:szCs w:val="32"/>
              </w:rPr>
              <w:t>　　</w:t>
            </w:r>
            <w:r>
              <w:rPr>
                <w:rFonts w:ascii="宋体" w:hAnsi="宋体"/>
                <w:sz w:val="32"/>
                <w:szCs w:val="32"/>
              </w:rPr>
              <w:t>1</w:t>
            </w:r>
            <w:r>
              <w:rPr>
                <w:rFonts w:hint="eastAsia" w:ascii="宋体" w:hAnsi="宋体"/>
                <w:sz w:val="32"/>
                <w:szCs w:val="32"/>
              </w:rPr>
              <w:t>、全面深化改革工作</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、统筹协调：及时准确把握中央、省委、市委改革部署，协调提出中长期改革规划建议并组织实施。</w:t>
            </w:r>
          </w:p>
          <w:p>
            <w:pPr>
              <w:spacing w:line="300" w:lineRule="exact"/>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、调查研究：根据县委改革部署、县委改革工作要点和县委改革领导小组要求，及时组织工作调研、专题调研、典型调研等。</w:t>
            </w:r>
          </w:p>
          <w:p>
            <w:pPr>
              <w:spacing w:line="300" w:lineRule="exact"/>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、督促检查：采取定期督查与不定期督查、综合督查与专题督查、书面督查与实地督查、面上督查与点上督查等方式，加大督促检查力度，确保改革措施落到实处。</w:t>
            </w:r>
          </w:p>
          <w:p>
            <w:pPr>
              <w:spacing w:line="300" w:lineRule="exact"/>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、学习培训：开展全面深化改革培训工作，制定培训计划和方案并实施。</w:t>
            </w:r>
          </w:p>
          <w:p>
            <w:pPr>
              <w:spacing w:line="300" w:lineRule="exact"/>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、宣传推广：会同县委宣传部和有关新闻媒体制定宣传方案，组织开展全面深化改革的宣传。</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、提出年度工作要点，提交年度改革进展、评估和总结报告。</w:t>
            </w:r>
            <w:r>
              <w:rPr>
                <w:rFonts w:ascii="仿宋" w:hAnsi="仿宋" w:eastAsia="仿宋"/>
                <w:sz w:val="30"/>
                <w:szCs w:val="30"/>
              </w:rPr>
              <w:t>2</w:t>
            </w:r>
            <w:r>
              <w:rPr>
                <w:rFonts w:hint="eastAsia" w:ascii="仿宋" w:hAnsi="仿宋" w:eastAsia="仿宋"/>
                <w:sz w:val="30"/>
                <w:szCs w:val="30"/>
              </w:rPr>
              <w:t>、做好调研成果转化工作。</w:t>
            </w:r>
            <w:r>
              <w:rPr>
                <w:rFonts w:ascii="仿宋" w:hAnsi="仿宋" w:eastAsia="仿宋"/>
                <w:sz w:val="30"/>
                <w:szCs w:val="30"/>
              </w:rPr>
              <w:t>3</w:t>
            </w:r>
            <w:r>
              <w:rPr>
                <w:rFonts w:hint="eastAsia" w:ascii="仿宋" w:hAnsi="仿宋" w:eastAsia="仿宋"/>
                <w:sz w:val="30"/>
                <w:szCs w:val="30"/>
              </w:rPr>
              <w:t>、制定督促检查方案，明确督查任务、督查重点、督查方式等。</w:t>
            </w:r>
            <w:r>
              <w:rPr>
                <w:rFonts w:ascii="仿宋" w:hAnsi="仿宋" w:eastAsia="仿宋"/>
                <w:sz w:val="30"/>
                <w:szCs w:val="30"/>
              </w:rPr>
              <w:t>4</w:t>
            </w:r>
            <w:r>
              <w:rPr>
                <w:rFonts w:hint="eastAsia" w:ascii="仿宋" w:hAnsi="仿宋" w:eastAsia="仿宋"/>
                <w:sz w:val="30"/>
                <w:szCs w:val="30"/>
              </w:rPr>
              <w:t>、广泛宣传全面深化改革的目的意义、工作部署、成效经验等。</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85%</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70%</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以上</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以下</w:t>
            </w: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宋体"/>
                <w:sz w:val="32"/>
                <w:szCs w:val="32"/>
              </w:rPr>
            </w:pPr>
            <w:r>
              <w:rPr>
                <w:rFonts w:hint="eastAsia" w:ascii="宋体" w:hAnsi="宋体"/>
                <w:sz w:val="32"/>
                <w:szCs w:val="32"/>
              </w:rPr>
              <w:t>九、县委事务管理</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县委系统行政后勤管理；财务、固定资产管理，以及离退休同志的生活服务和阅文、参加有关活动的事务服务工作。</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高质量完成各项事务管理工作任务</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p>
        </w:tc>
      </w:tr>
      <w:tr>
        <w:tblPrEx>
          <w:tblCellMar>
            <w:top w:w="0" w:type="dxa"/>
            <w:left w:w="108" w:type="dxa"/>
            <w:bottom w:w="0" w:type="dxa"/>
            <w:right w:w="108" w:type="dxa"/>
          </w:tblCellMar>
        </w:tblPrEx>
        <w:trPr>
          <w:trHeight w:val="227" w:hRule="atLeast"/>
          <w:jc w:val="center"/>
        </w:trPr>
        <w:tc>
          <w:tcPr>
            <w:tcW w:w="11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宋体"/>
                <w:sz w:val="32"/>
                <w:szCs w:val="32"/>
              </w:rPr>
            </w:pPr>
            <w:r>
              <w:rPr>
                <w:rFonts w:hint="eastAsia" w:ascii="宋体" w:hAnsi="宋体"/>
                <w:sz w:val="32"/>
                <w:szCs w:val="32"/>
              </w:rPr>
              <w:t>　　</w:t>
            </w:r>
            <w:r>
              <w:rPr>
                <w:rFonts w:ascii="宋体" w:hAnsi="宋体"/>
                <w:sz w:val="32"/>
                <w:szCs w:val="32"/>
              </w:rPr>
              <w:t>1</w:t>
            </w:r>
            <w:r>
              <w:rPr>
                <w:rFonts w:hint="eastAsia" w:ascii="宋体" w:hAnsi="宋体"/>
                <w:sz w:val="32"/>
                <w:szCs w:val="32"/>
              </w:rPr>
              <w:t>、综合事务管理</w:t>
            </w:r>
          </w:p>
        </w:tc>
        <w:tc>
          <w:tcPr>
            <w:tcW w:w="21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b/>
                <w:sz w:val="30"/>
                <w:szCs w:val="30"/>
              </w:rPr>
            </w:pPr>
            <w:r>
              <w:rPr>
                <w:rFonts w:hint="eastAsia" w:ascii="仿宋" w:hAnsi="仿宋" w:eastAsia="仿宋"/>
                <w:sz w:val="30"/>
                <w:szCs w:val="30"/>
              </w:rPr>
              <w:t>后勤保障、财务管理、办公用房、办公车辆、办公用品和其他固定资产的管理</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保障机关工作任务高质高效</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综合事务管理工作完成率</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100%</w:t>
            </w:r>
          </w:p>
        </w:tc>
        <w:tc>
          <w:tcPr>
            <w:tcW w:w="73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95%</w:t>
            </w:r>
          </w:p>
        </w:tc>
        <w:tc>
          <w:tcPr>
            <w:tcW w:w="7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90%</w:t>
            </w:r>
          </w:p>
        </w:tc>
        <w:tc>
          <w:tcPr>
            <w:tcW w:w="8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hAnsi="仿宋" w:eastAsia="仿宋"/>
                <w:sz w:val="30"/>
                <w:szCs w:val="30"/>
              </w:rPr>
            </w:pPr>
            <w:r>
              <w:rPr>
                <w:rFonts w:ascii="仿宋" w:hAnsi="仿宋" w:eastAsia="仿宋"/>
                <w:sz w:val="30"/>
                <w:szCs w:val="30"/>
              </w:rPr>
              <w:t>&lt;90%</w:t>
            </w:r>
          </w:p>
        </w:tc>
      </w:tr>
    </w:tbl>
    <w:p>
      <w:pPr>
        <w:autoSpaceDE w:val="0"/>
        <w:autoSpaceDN w:val="0"/>
        <w:adjustRightInd w:val="0"/>
        <w:ind w:left="200"/>
        <w:jc w:val="left"/>
        <w:rPr>
          <w:rFonts w:ascii="宋体" w:cs="宋体"/>
          <w:kern w:val="0"/>
          <w:sz w:val="18"/>
          <w:szCs w:val="18"/>
          <w:lang w:val="zh-CN"/>
        </w:rPr>
      </w:pPr>
    </w:p>
    <w:p>
      <w:pPr>
        <w:spacing w:line="300" w:lineRule="exact"/>
        <w:jc w:val="left"/>
        <w:outlineLvl w:val="0"/>
      </w:pPr>
      <w:r>
        <w:t xml:space="preserve"> </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56.06</w:t>
      </w:r>
      <w:r>
        <w:rPr>
          <w:rFonts w:hint="eastAsia" w:ascii="仿宋_GB2312" w:eastAsia="仿宋_GB2312" w:cs="DengXian-Regular"/>
          <w:sz w:val="32"/>
          <w:szCs w:val="32"/>
        </w:rPr>
        <w:t>万元，较年初预算数</w:t>
      </w:r>
      <w:r>
        <w:rPr>
          <w:rFonts w:hint="eastAsia" w:eastAsia="仿宋_GB2312"/>
          <w:sz w:val="32"/>
          <w:szCs w:val="32"/>
        </w:rPr>
        <w:t>减少</w:t>
      </w:r>
      <w:r>
        <w:rPr>
          <w:rFonts w:eastAsia="仿宋_GB2312"/>
          <w:sz w:val="32"/>
          <w:szCs w:val="32"/>
        </w:rPr>
        <w:t>13.77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eastAsia="仿宋_GB2312"/>
          <w:sz w:val="32"/>
          <w:szCs w:val="32"/>
        </w:rPr>
        <w:t>降低</w:t>
      </w:r>
      <w:r>
        <w:rPr>
          <w:rFonts w:hint="eastAsia" w:eastAsia="仿宋_GB2312"/>
          <w:sz w:val="32"/>
          <w:szCs w:val="32"/>
          <w:lang w:val="en-US" w:eastAsia="zh-CN"/>
        </w:rPr>
        <w:t>19.71</w:t>
      </w:r>
      <w:r>
        <w:rPr>
          <w:rFonts w:eastAsia="仿宋_GB2312"/>
          <w:sz w:val="32"/>
          <w:szCs w:val="32"/>
        </w:rPr>
        <w:t>%</w:t>
      </w:r>
      <w:r>
        <w:rPr>
          <w:rFonts w:hint="eastAsia" w:eastAsia="仿宋_GB2312"/>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压减办公经费开支。</w:t>
      </w:r>
      <w:r>
        <w:rPr>
          <w:rFonts w:hint="eastAsia" w:ascii="仿宋_GB2312" w:eastAsia="仿宋_GB2312" w:cs="DengXian-Regular"/>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w:t>
      </w:r>
      <w:r>
        <w:rPr>
          <w:rFonts w:eastAsia="仿宋_GB2312"/>
          <w:sz w:val="32"/>
          <w:szCs w:val="32"/>
        </w:rPr>
        <w:t>2.83</w:t>
      </w:r>
      <w:r>
        <w:rPr>
          <w:rFonts w:hint="eastAsia" w:eastAsia="仿宋_GB2312"/>
          <w:sz w:val="32"/>
          <w:szCs w:val="32"/>
        </w:rPr>
        <w:t>万元，降低</w:t>
      </w:r>
      <w:r>
        <w:rPr>
          <w:rFonts w:eastAsia="仿宋_GB2312"/>
          <w:sz w:val="32"/>
          <w:szCs w:val="32"/>
        </w:rPr>
        <w:t>4.81%</w:t>
      </w:r>
      <w:r>
        <w:rPr>
          <w:rFonts w:hint="eastAsia" w:eastAsia="仿宋_GB2312"/>
          <w:sz w:val="32"/>
          <w:szCs w:val="32"/>
        </w:rPr>
        <w:t>，主要是</w:t>
      </w:r>
      <w:r>
        <w:rPr>
          <w:rFonts w:eastAsia="仿宋_GB2312"/>
          <w:sz w:val="32"/>
          <w:szCs w:val="32"/>
        </w:rPr>
        <w:t>2017</w:t>
      </w:r>
      <w:r>
        <w:rPr>
          <w:rFonts w:hint="eastAsia" w:eastAsia="仿宋_GB2312"/>
          <w:sz w:val="32"/>
          <w:szCs w:val="32"/>
        </w:rPr>
        <w:t>年机关工作量较大，</w:t>
      </w:r>
      <w:r>
        <w:rPr>
          <w:rFonts w:eastAsia="仿宋_GB2312"/>
          <w:sz w:val="32"/>
          <w:szCs w:val="32"/>
        </w:rPr>
        <w:t>2018</w:t>
      </w:r>
      <w:r>
        <w:rPr>
          <w:rFonts w:hint="eastAsia" w:eastAsia="仿宋_GB2312"/>
          <w:sz w:val="32"/>
          <w:szCs w:val="32"/>
        </w:rPr>
        <w:t>年在保证机关运行的情况下尽量减少不必要支出。</w:t>
      </w:r>
    </w:p>
    <w:p>
      <w:pPr>
        <w:adjustRightInd w:val="0"/>
        <w:snapToGrid w:val="0"/>
        <w:spacing w:after="0" w:line="580" w:lineRule="exact"/>
        <w:ind w:firstLine="640" w:firstLineChars="200"/>
        <w:rPr>
          <w:rFonts w:ascii="仿宋_GB2312" w:eastAsia="仿宋_GB2312" w:cs="DengXian-Regular"/>
          <w:sz w:val="32"/>
          <w:szCs w:val="32"/>
        </w:rPr>
      </w:pPr>
    </w:p>
    <w:p>
      <w:pPr>
        <w:pStyle w:val="4"/>
        <w:numPr>
          <w:ilvl w:val="0"/>
          <w:numId w:val="6"/>
        </w:numPr>
        <w:spacing w:before="0" w:after="0" w:line="580" w:lineRule="exact"/>
        <w:ind w:firstLine="643" w:firstLineChars="200"/>
        <w:rPr>
          <w:rFonts w:hint="eastAsia" w:ascii="楷体_GB2312" w:eastAsia="楷体_GB2312" w:cs="DengXian-Bold"/>
        </w:rPr>
      </w:pPr>
      <w:r>
        <w:rPr>
          <w:rFonts w:hint="eastAsia" w:ascii="楷体_GB2312" w:eastAsia="楷体_GB2312" w:cs="DengXian-Bold"/>
        </w:rPr>
        <w:t>政府采购情况</w:t>
      </w:r>
    </w:p>
    <w:p>
      <w:pPr>
        <w:widowControl/>
        <w:spacing w:after="0" w:line="580" w:lineRule="exact"/>
        <w:ind w:firstLine="640" w:firstLineChars="200"/>
        <w:jc w:val="left"/>
      </w:pPr>
      <w:r>
        <w:rPr>
          <w:rFonts w:ascii="仿宋_GB2312" w:eastAsia="仿宋_GB2312" w:cs="DengXian-Regular"/>
          <w:sz w:val="32"/>
          <w:szCs w:val="32"/>
        </w:rPr>
        <w:t>大城</w:t>
      </w:r>
      <w:r>
        <w:rPr>
          <w:rFonts w:hint="eastAsia" w:ascii="仿宋_GB2312" w:eastAsia="仿宋_GB2312" w:cs="DengXian-Regular"/>
          <w:sz w:val="32"/>
          <w:szCs w:val="32"/>
          <w:lang w:val="en-US" w:eastAsia="zh-CN"/>
        </w:rPr>
        <w:t>县委办公室</w:t>
      </w:r>
      <w:r>
        <w:rPr>
          <w:rFonts w:hint="eastAsia" w:ascii="仿宋_GB2312" w:eastAsia="仿宋_GB2312" w:cs="DengXian-Regular"/>
          <w:sz w:val="32"/>
          <w:szCs w:val="32"/>
        </w:rPr>
        <w:t>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万元、政府采购工程支出0万元、政府采购服务支出 0万元。授予中小企业合同金0万元，占政府采购支出总额的0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其中授予小微企业合同金额0万元，占政府采购支出总额的0%。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8</w:t>
      </w:r>
      <w:r>
        <w:rPr>
          <w:rFonts w:hint="eastAsia" w:ascii="仿宋_GB2312" w:eastAsia="仿宋_GB2312" w:cs="DengXian-Regular"/>
          <w:sz w:val="32"/>
          <w:szCs w:val="32"/>
        </w:rPr>
        <w:t>辆，</w:t>
      </w:r>
      <w:r>
        <w:rPr>
          <w:rFonts w:hint="eastAsia" w:ascii="仿宋" w:hAnsi="仿宋" w:eastAsia="仿宋" w:cs="仿宋"/>
          <w:sz w:val="32"/>
          <w:szCs w:val="32"/>
        </w:rPr>
        <w:t>其中，机要通信用车</w:t>
      </w:r>
      <w:r>
        <w:rPr>
          <w:rFonts w:hint="eastAsia" w:ascii="仿宋" w:hAnsi="仿宋" w:eastAsia="仿宋" w:cs="仿宋"/>
          <w:sz w:val="32"/>
          <w:szCs w:val="32"/>
          <w:lang w:val="en-US" w:eastAsia="zh-CN"/>
        </w:rPr>
        <w:t>4</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其他用车</w:t>
      </w:r>
      <w:r>
        <w:rPr>
          <w:rFonts w:hint="eastAsia" w:ascii="仿宋" w:hAnsi="仿宋" w:eastAsia="仿宋" w:cs="仿宋"/>
          <w:sz w:val="32"/>
          <w:szCs w:val="32"/>
          <w:lang w:val="en-US" w:eastAsia="zh-CN"/>
        </w:rPr>
        <w:t>4辆。</w:t>
      </w:r>
      <w:r>
        <w:rPr>
          <w:rFonts w:hint="eastAsia" w:ascii="仿宋_GB2312" w:eastAsia="仿宋_GB2312" w:cs="DengXian-Regular"/>
          <w:sz w:val="32"/>
          <w:szCs w:val="32"/>
        </w:rPr>
        <w:t>较上年无增减变化。单位价值</w:t>
      </w:r>
      <w:r>
        <w:rPr>
          <w:rFonts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年度结转资金</w:t>
      </w:r>
      <w:r>
        <w:rPr>
          <w:rFonts w:ascii="仿宋_GB2312" w:eastAsia="仿宋_GB2312" w:cs="DengXian-Regular"/>
          <w:sz w:val="32"/>
          <w:szCs w:val="32"/>
        </w:rPr>
        <w:t>228.17</w:t>
      </w:r>
      <w:r>
        <w:rPr>
          <w:rFonts w:hint="eastAsia" w:ascii="仿宋_GB2312" w:eastAsia="仿宋_GB2312" w:cs="DengXian-Regular"/>
          <w:sz w:val="32"/>
          <w:szCs w:val="32"/>
        </w:rPr>
        <w:t>万元，结转资金为人员增资补助及部分项目资金。</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240" w:lineRule="auto"/>
        <w:jc w:val="left"/>
        <w:rPr>
          <w:rFonts w:ascii="宋体" w:cs="MS-UIGothic,Bold"/>
          <w:b/>
          <w:bCs/>
          <w:kern w:val="0"/>
          <w:sz w:val="44"/>
          <w:szCs w:val="44"/>
        </w:rPr>
        <w:sectPr>
          <w:pgSz w:w="11906" w:h="16838"/>
          <w:pgMar w:top="2098" w:right="1474" w:bottom="1985"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widowControl/>
        <w:spacing w:after="0"/>
        <w:jc w:val="left"/>
        <w:rPr>
          <w:rFonts w:ascii="宋体" w:cs="ArialUnicodeMS"/>
          <w:color w:val="000000"/>
          <w:kern w:val="0"/>
        </w:rPr>
        <w:sectPr>
          <w:pgSz w:w="16838" w:h="11906" w:orient="landscape"/>
          <w:pgMar w:top="1588" w:right="2098" w:bottom="1474" w:left="1984"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ascii="仿宋_GB2312" w:eastAsia="仿宋_GB2312"/>
          <w:b/>
          <w:bCs/>
          <w:color w:val="000000"/>
          <w:kern w:val="0"/>
          <w:sz w:val="32"/>
          <w:szCs w:val="32"/>
        </w:rPr>
        <w:t>:</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0CFFF"/>
    <w:multiLevelType w:val="singleLevel"/>
    <w:tmpl w:val="8A80CFFF"/>
    <w:lvl w:ilvl="0" w:tentative="0">
      <w:start w:val="1"/>
      <w:numFmt w:val="chineseCounting"/>
      <w:suff w:val="nothing"/>
      <w:lvlText w:val="（%1）"/>
      <w:lvlJc w:val="left"/>
      <w:rPr>
        <w:rFonts w:hint="eastAsia"/>
      </w:rPr>
    </w:lvl>
  </w:abstractNum>
  <w:abstractNum w:abstractNumId="1">
    <w:nsid w:val="05FBA5F6"/>
    <w:multiLevelType w:val="singleLevel"/>
    <w:tmpl w:val="05FBA5F6"/>
    <w:lvl w:ilvl="0" w:tentative="0">
      <w:start w:val="1"/>
      <w:numFmt w:val="chineseCounting"/>
      <w:suff w:val="nothing"/>
      <w:lvlText w:val="%1、"/>
      <w:lvlJc w:val="left"/>
      <w:rPr>
        <w:rFonts w:cs="Times New Roman"/>
      </w:rPr>
    </w:lvl>
  </w:abstractNum>
  <w:abstractNum w:abstractNumId="2">
    <w:nsid w:val="45DB9A87"/>
    <w:multiLevelType w:val="singleLevel"/>
    <w:tmpl w:val="45DB9A87"/>
    <w:lvl w:ilvl="0" w:tentative="0">
      <w:start w:val="3"/>
      <w:numFmt w:val="chineseCounting"/>
      <w:suff w:val="nothing"/>
      <w:lvlText w:val="（%1）"/>
      <w:lvlJc w:val="left"/>
      <w:pPr>
        <w:tabs>
          <w:tab w:val="left" w:pos="0"/>
        </w:tabs>
      </w:pPr>
      <w:rPr>
        <w:rFonts w:cs="Times New Roman"/>
      </w:rPr>
    </w:lvl>
  </w:abstractNum>
  <w:abstractNum w:abstractNumId="3">
    <w:nsid w:val="50607286"/>
    <w:multiLevelType w:val="singleLevel"/>
    <w:tmpl w:val="50607286"/>
    <w:lvl w:ilvl="0" w:tentative="0">
      <w:start w:val="2"/>
      <w:numFmt w:val="chineseCounting"/>
      <w:suff w:val="nothing"/>
      <w:lvlText w:val="（%1）"/>
      <w:lvlJc w:val="left"/>
      <w:pPr>
        <w:tabs>
          <w:tab w:val="left" w:pos="0"/>
        </w:tabs>
      </w:pPr>
      <w:rPr>
        <w:rFonts w:cs="Times New Roman"/>
      </w:rPr>
    </w:lvl>
  </w:abstractNum>
  <w:abstractNum w:abstractNumId="4">
    <w:nsid w:val="51594F37"/>
    <w:multiLevelType w:val="singleLevel"/>
    <w:tmpl w:val="51594F37"/>
    <w:lvl w:ilvl="0" w:tentative="0">
      <w:start w:val="2"/>
      <w:numFmt w:val="chineseCounting"/>
      <w:suff w:val="nothing"/>
      <w:lvlText w:val="（%1）"/>
      <w:lvlJc w:val="left"/>
      <w:rPr>
        <w:rFonts w:hint="eastAsia"/>
      </w:rPr>
    </w:lvl>
  </w:abstractNum>
  <w:abstractNum w:abstractNumId="5">
    <w:nsid w:val="5F222FFA"/>
    <w:multiLevelType w:val="singleLevel"/>
    <w:tmpl w:val="5F222FFA"/>
    <w:lvl w:ilvl="0" w:tentative="0">
      <w:start w:val="1"/>
      <w:numFmt w:val="decimal"/>
      <w:suff w:val="nothing"/>
      <w:lvlText w:val="（%1）"/>
      <w:lvlJc w:val="left"/>
      <w:rPr>
        <w:rFonts w:cs="Times New Roman"/>
      </w:rPr>
    </w:lvl>
  </w:abstractNum>
  <w:num w:numId="1">
    <w:abstractNumId w:val="1"/>
    <w:lvlOverride w:ilvl="0">
      <w:startOverride w:val="1"/>
    </w:lvlOverride>
  </w:num>
  <w:num w:numId="2">
    <w:abstractNumId w:val="2"/>
    <w:lvlOverride w:ilvl="0">
      <w:startOverride w:val="3"/>
    </w:lvlOverride>
  </w:num>
  <w:num w:numId="3">
    <w:abstractNumId w:val="0"/>
  </w:num>
  <w:num w:numId="4">
    <w:abstractNumId w:val="3"/>
    <w:lvlOverride w:ilvl="0">
      <w:startOverride w:val="2"/>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E1MmU0MWUzOTNjZjZiOGVlMjZlNmRjZDZjNGMifQ=="/>
  </w:docVars>
  <w:rsids>
    <w:rsidRoot w:val="00435D15"/>
    <w:rsid w:val="00055B49"/>
    <w:rsid w:val="000703B0"/>
    <w:rsid w:val="00116A96"/>
    <w:rsid w:val="00214815"/>
    <w:rsid w:val="0031155B"/>
    <w:rsid w:val="00426E1A"/>
    <w:rsid w:val="00435D15"/>
    <w:rsid w:val="00487733"/>
    <w:rsid w:val="004D7FF7"/>
    <w:rsid w:val="006E6EBD"/>
    <w:rsid w:val="00710573"/>
    <w:rsid w:val="007E1865"/>
    <w:rsid w:val="00967231"/>
    <w:rsid w:val="00B21745"/>
    <w:rsid w:val="00BF16BA"/>
    <w:rsid w:val="00BF5E8B"/>
    <w:rsid w:val="00C427E1"/>
    <w:rsid w:val="00D507DE"/>
    <w:rsid w:val="0E370DEB"/>
    <w:rsid w:val="10A62F52"/>
    <w:rsid w:val="122713C4"/>
    <w:rsid w:val="152834CF"/>
    <w:rsid w:val="1E172D2A"/>
    <w:rsid w:val="1F141FC7"/>
    <w:rsid w:val="24B549D5"/>
    <w:rsid w:val="2A1C27A5"/>
    <w:rsid w:val="34905B26"/>
    <w:rsid w:val="3CB756AB"/>
    <w:rsid w:val="421C3E8F"/>
    <w:rsid w:val="47900086"/>
    <w:rsid w:val="4D9C1893"/>
    <w:rsid w:val="57AD1E93"/>
    <w:rsid w:val="58193DCD"/>
    <w:rsid w:val="59913070"/>
    <w:rsid w:val="61BA05A7"/>
    <w:rsid w:val="667C4500"/>
    <w:rsid w:val="69A1200C"/>
    <w:rsid w:val="6C687133"/>
    <w:rsid w:val="6F1832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1"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2"/>
    <w:qFormat/>
    <w:uiPriority w:val="99"/>
    <w:pPr>
      <w:keepNext/>
      <w:keepLines/>
      <w:spacing w:before="260" w:after="260" w:line="412" w:lineRule="auto"/>
      <w:outlineLvl w:val="1"/>
    </w:pPr>
    <w:rPr>
      <w:rFonts w:ascii="Calibri" w:hAnsi="Calibri" w:cs="Arial"/>
      <w:b/>
      <w:bCs/>
      <w:sz w:val="32"/>
      <w:szCs w:val="32"/>
    </w:rPr>
  </w:style>
  <w:style w:type="paragraph" w:styleId="4">
    <w:name w:val="heading 3"/>
    <w:basedOn w:val="1"/>
    <w:next w:val="1"/>
    <w:link w:val="13"/>
    <w:qFormat/>
    <w:uiPriority w:val="99"/>
    <w:pPr>
      <w:keepNext/>
      <w:keepLines/>
      <w:spacing w:before="260" w:after="260" w:line="412" w:lineRule="auto"/>
      <w:outlineLvl w:val="2"/>
    </w:pPr>
    <w:rPr>
      <w:b/>
      <w:bCs/>
      <w:sz w:val="32"/>
      <w:szCs w:val="32"/>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autoRedefine/>
    <w:semiHidden/>
    <w:qFormat/>
    <w:uiPriority w:val="99"/>
    <w:pPr>
      <w:spacing w:after="0" w:line="240" w:lineRule="auto"/>
    </w:pPr>
    <w:rPr>
      <w:sz w:val="18"/>
      <w:szCs w:val="18"/>
    </w:rPr>
  </w:style>
  <w:style w:type="paragraph" w:styleId="6">
    <w:name w:val="footer"/>
    <w:basedOn w:val="1"/>
    <w:link w:val="15"/>
    <w:semiHidden/>
    <w:qFormat/>
    <w:uiPriority w:val="99"/>
    <w:pPr>
      <w:tabs>
        <w:tab w:val="center" w:pos="4153"/>
        <w:tab w:val="right" w:pos="8306"/>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Heading 1 Char"/>
    <w:basedOn w:val="10"/>
    <w:link w:val="2"/>
    <w:autoRedefine/>
    <w:qFormat/>
    <w:locked/>
    <w:uiPriority w:val="99"/>
    <w:rPr>
      <w:rFonts w:ascii="Times New Roman" w:hAnsi="Times New Roman" w:eastAsia="宋体" w:cs="Times New Roman"/>
      <w:b/>
      <w:bCs/>
      <w:kern w:val="44"/>
      <w:sz w:val="44"/>
      <w:szCs w:val="44"/>
    </w:rPr>
  </w:style>
  <w:style w:type="character" w:customStyle="1" w:styleId="12">
    <w:name w:val="Heading 2 Char"/>
    <w:basedOn w:val="10"/>
    <w:link w:val="3"/>
    <w:semiHidden/>
    <w:qFormat/>
    <w:locked/>
    <w:uiPriority w:val="99"/>
    <w:rPr>
      <w:rFonts w:ascii="Calibri" w:hAnsi="Calibri" w:eastAsia="宋体" w:cs="Arial"/>
      <w:b/>
      <w:bCs/>
      <w:sz w:val="32"/>
      <w:szCs w:val="32"/>
    </w:rPr>
  </w:style>
  <w:style w:type="character" w:customStyle="1" w:styleId="13">
    <w:name w:val="Heading 3 Char"/>
    <w:basedOn w:val="10"/>
    <w:link w:val="4"/>
    <w:autoRedefine/>
    <w:semiHidden/>
    <w:qFormat/>
    <w:locked/>
    <w:uiPriority w:val="99"/>
    <w:rPr>
      <w:rFonts w:ascii="Times New Roman" w:hAnsi="Times New Roman" w:eastAsia="宋体" w:cs="Times New Roman"/>
      <w:b/>
      <w:bCs/>
      <w:sz w:val="32"/>
      <w:szCs w:val="32"/>
    </w:rPr>
  </w:style>
  <w:style w:type="character" w:customStyle="1" w:styleId="14">
    <w:name w:val="Header Char"/>
    <w:basedOn w:val="10"/>
    <w:link w:val="7"/>
    <w:semiHidden/>
    <w:qFormat/>
    <w:locked/>
    <w:uiPriority w:val="99"/>
    <w:rPr>
      <w:rFonts w:cs="Times New Roman"/>
      <w:sz w:val="18"/>
      <w:szCs w:val="18"/>
    </w:rPr>
  </w:style>
  <w:style w:type="character" w:customStyle="1" w:styleId="15">
    <w:name w:val="Footer Char"/>
    <w:basedOn w:val="10"/>
    <w:link w:val="6"/>
    <w:autoRedefine/>
    <w:semiHidden/>
    <w:qFormat/>
    <w:locked/>
    <w:uiPriority w:val="99"/>
    <w:rPr>
      <w:rFonts w:cs="Times New Roman"/>
      <w:sz w:val="18"/>
      <w:szCs w:val="18"/>
    </w:rPr>
  </w:style>
  <w:style w:type="paragraph" w:customStyle="1" w:styleId="16">
    <w:name w:val="[Normal]"/>
    <w:autoRedefine/>
    <w:qFormat/>
    <w:uiPriority w:val="99"/>
    <w:rPr>
      <w:rFonts w:ascii="宋体" w:hAnsi="宋体" w:eastAsia="宋体" w:cs="Times New Roman"/>
      <w:kern w:val="0"/>
      <w:sz w:val="24"/>
      <w:szCs w:val="20"/>
      <w:lang w:val="en-US" w:eastAsia="en-US" w:bidi="ar-SA"/>
    </w:rPr>
  </w:style>
  <w:style w:type="character" w:customStyle="1" w:styleId="17">
    <w:name w:val="Balloon Text Char"/>
    <w:basedOn w:val="10"/>
    <w:link w:val="5"/>
    <w:autoRedefine/>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36</Pages>
  <Words>9229</Words>
  <Characters>9875</Characters>
  <Lines>0</Lines>
  <Paragraphs>0</Paragraphs>
  <TotalTime>2</TotalTime>
  <ScaleCrop>false</ScaleCrop>
  <LinksUpToDate>false</LinksUpToDate>
  <CharactersWithSpaces>9968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2019-11-08T04:39:00Z</dcterms:created>
  <dc:creator>User</dc:creator>
  <cp:lastModifiedBy>开心就好</cp:lastModifiedBy>
  <cp:lastPrinted>2023-06-01T08:01:00Z</cp:lastPrinted>
  <dcterms:modified xsi:type="dcterms:W3CDTF">2024-05-17T01:38:23Z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51216FFE77194729AF79F25DF057B751_13</vt:lpwstr>
  </property>
</Properties>
</file>