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大城县行政审批</w:t>
      </w:r>
      <w:r>
        <w:rPr>
          <w:rFonts w:hint="eastAsia" w:ascii="Times New Roman" w:hAnsi="Times New Roman" w:eastAsia="方正小标宋简体" w:cs="Times New Roman"/>
          <w:sz w:val="44"/>
          <w:szCs w:val="44"/>
          <w:lang w:val="en-US" w:eastAsia="zh-CN"/>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行政审批局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（一）贯彻执行</w:t>
      </w:r>
      <w:r>
        <w:rPr>
          <w:rFonts w:hint="eastAsia" w:ascii="仿宋" w:hAnsi="仿宋" w:eastAsia="仿宋"/>
          <w:sz w:val="32"/>
          <w:szCs w:val="32"/>
          <w:lang w:eastAsia="zh-CN"/>
        </w:rPr>
        <w:t>党中央、国务院</w:t>
      </w:r>
      <w:r>
        <w:rPr>
          <w:rFonts w:hint="eastAsia" w:ascii="仿宋" w:hAnsi="仿宋" w:eastAsia="仿宋"/>
          <w:sz w:val="32"/>
          <w:szCs w:val="32"/>
        </w:rPr>
        <w:t>、省委省政府、市委市政府和县委县政府“放管服”改革、行政审批制度改革、政务服务管理、公共资源交易市场管理有关方针政策和法律法规。拟定有关政策，协调指导并监督实施。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（二）组织协调全县“放管服”改革工作。指导、督促贯彻落实</w:t>
      </w:r>
      <w:bookmarkStart w:id="3" w:name="_GoBack"/>
      <w:bookmarkEnd w:id="3"/>
      <w:r>
        <w:rPr>
          <w:rFonts w:hint="eastAsia" w:ascii="仿宋" w:hAnsi="仿宋" w:eastAsia="仿宋"/>
          <w:sz w:val="32"/>
          <w:szCs w:val="32"/>
          <w:lang w:eastAsia="zh-CN"/>
        </w:rPr>
        <w:t>党中央、国务院</w:t>
      </w:r>
      <w:r>
        <w:rPr>
          <w:rFonts w:hint="eastAsia" w:ascii="仿宋" w:hAnsi="仿宋" w:eastAsia="仿宋"/>
          <w:sz w:val="32"/>
          <w:szCs w:val="32"/>
        </w:rPr>
        <w:t>、省委省政府、市委市政府和县委县政府“放管服”改革重要领域、关键环节重大政策措施，承担县推进政府职能转变和“放管服”改革的日常工作。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（四）负责办理划转至县行政审批局的行政审批事项，并对审批行为承担相应的法律责任；负责对划入的行政审批事项进行流程再造和环节优化，负责与监管</w:t>
      </w:r>
      <w:r>
        <w:rPr>
          <w:rFonts w:hint="eastAsia" w:ascii="仿宋" w:hAnsi="仿宋" w:eastAsia="仿宋"/>
          <w:sz w:val="32"/>
          <w:szCs w:val="32"/>
          <w:lang w:eastAsia="zh-CN"/>
        </w:rPr>
        <w:t>单位</w:t>
      </w:r>
      <w:r>
        <w:rPr>
          <w:rFonts w:hint="eastAsia" w:ascii="仿宋" w:hAnsi="仿宋" w:eastAsia="仿宋"/>
          <w:sz w:val="32"/>
          <w:szCs w:val="32"/>
        </w:rPr>
        <w:t>的联系沟通，建立健全审批与监管的有效衔接机制。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（五）指导协调全县政务服务管理工作，负责优化政务服务供给，降低制度性交易成本，提升政务服务效能；负责推进行政审批服务便民化；指导协调县有关</w:t>
      </w:r>
      <w:r>
        <w:rPr>
          <w:rFonts w:hint="eastAsia" w:ascii="仿宋" w:hAnsi="仿宋" w:eastAsia="仿宋"/>
          <w:sz w:val="32"/>
          <w:szCs w:val="32"/>
          <w:lang w:eastAsia="zh-CN"/>
        </w:rPr>
        <w:t>单位</w:t>
      </w:r>
      <w:r>
        <w:rPr>
          <w:rFonts w:hint="eastAsia" w:ascii="仿宋" w:hAnsi="仿宋" w:eastAsia="仿宋"/>
          <w:sz w:val="32"/>
          <w:szCs w:val="32"/>
        </w:rPr>
        <w:t>为公民、法人或其他组织提供规范、高效、优质的政务服务。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（六）负责综合协调和监督管理县级各</w:t>
      </w:r>
      <w:r>
        <w:rPr>
          <w:rFonts w:hint="eastAsia" w:ascii="仿宋" w:hAnsi="仿宋" w:eastAsia="仿宋"/>
          <w:sz w:val="32"/>
          <w:szCs w:val="32"/>
          <w:lang w:eastAsia="zh-CN"/>
        </w:rPr>
        <w:t>单位</w:t>
      </w:r>
      <w:r>
        <w:rPr>
          <w:rFonts w:hint="eastAsia" w:ascii="仿宋" w:hAnsi="仿宋" w:eastAsia="仿宋"/>
          <w:sz w:val="32"/>
          <w:szCs w:val="32"/>
        </w:rPr>
        <w:t>行政审批等事项和公共服务事项的集中统一办理；推进重点项目审批服务的综合协调和督办；组织相关</w:t>
      </w:r>
      <w:r>
        <w:rPr>
          <w:rFonts w:hint="eastAsia" w:ascii="仿宋" w:hAnsi="仿宋" w:eastAsia="仿宋"/>
          <w:sz w:val="32"/>
          <w:szCs w:val="32"/>
          <w:lang w:eastAsia="zh-CN"/>
        </w:rPr>
        <w:t>单位</w:t>
      </w:r>
      <w:r>
        <w:rPr>
          <w:rFonts w:hint="eastAsia" w:ascii="仿宋" w:hAnsi="仿宋" w:eastAsia="仿宋"/>
          <w:sz w:val="32"/>
          <w:szCs w:val="32"/>
        </w:rPr>
        <w:t>开展审批服务事项的联合办理和联审会办；研究推进并联审批服务工作。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w:t>
      </w:r>
      <w:r>
        <w:rPr>
          <w:rFonts w:hint="eastAsia" w:ascii="仿宋" w:hAnsi="仿宋" w:eastAsia="仿宋"/>
          <w:sz w:val="32"/>
          <w:szCs w:val="32"/>
          <w:lang w:eastAsia="zh-CN"/>
        </w:rPr>
        <w:t>单位</w:t>
      </w:r>
      <w:r>
        <w:rPr>
          <w:rFonts w:hint="eastAsia" w:ascii="仿宋" w:hAnsi="仿宋" w:eastAsia="仿宋"/>
          <w:sz w:val="32"/>
          <w:szCs w:val="32"/>
        </w:rPr>
        <w:t>开展县级公共资源交易活动的联动执法工作。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统筹推进全县“互联网+政务服务”工作，构建全县一体化政务服务平台。推进政务服务事项网上办理，形成管理机构、实体大厅、网上平台“三体一位”的管理模式，推进全县电子证照库建设，推进全县政务服务平台规范化、标准化、集约化建设和互联互通、数据共享。</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（九）建立健全县行政审批服务、政务服务效能可量化的考核评价制度；对进驻政务服务大厅的</w:t>
      </w:r>
      <w:r>
        <w:rPr>
          <w:rFonts w:hint="eastAsia" w:ascii="仿宋" w:hAnsi="仿宋" w:eastAsia="仿宋"/>
          <w:sz w:val="32"/>
          <w:szCs w:val="32"/>
          <w:lang w:eastAsia="zh-CN"/>
        </w:rPr>
        <w:t>单位</w:t>
      </w:r>
      <w:r>
        <w:rPr>
          <w:rFonts w:hint="eastAsia" w:ascii="仿宋" w:hAnsi="仿宋" w:eastAsia="仿宋"/>
          <w:sz w:val="32"/>
          <w:szCs w:val="32"/>
        </w:rPr>
        <w:t>进行综合考评，对进驻事项的办理情况、办理效能，以及办事人员的服务质量等进行监督；负责对垂管</w:t>
      </w:r>
      <w:r>
        <w:rPr>
          <w:rFonts w:hint="eastAsia" w:ascii="仿宋" w:hAnsi="仿宋" w:eastAsia="仿宋"/>
          <w:sz w:val="32"/>
          <w:szCs w:val="32"/>
          <w:lang w:eastAsia="zh-CN"/>
        </w:rPr>
        <w:t>单位</w:t>
      </w:r>
      <w:r>
        <w:rPr>
          <w:rFonts w:hint="eastAsia" w:ascii="仿宋" w:hAnsi="仿宋" w:eastAsia="仿宋"/>
          <w:sz w:val="32"/>
          <w:szCs w:val="32"/>
        </w:rPr>
        <w:t>和有关单位派驻窗口的规范、管理和监督；负责受理对本单位及派驻单位行政审批行为的投诉举报，会同有关</w:t>
      </w:r>
      <w:r>
        <w:rPr>
          <w:rFonts w:hint="eastAsia" w:ascii="仿宋" w:hAnsi="仿宋" w:eastAsia="仿宋"/>
          <w:sz w:val="32"/>
          <w:szCs w:val="32"/>
          <w:lang w:eastAsia="zh-CN"/>
        </w:rPr>
        <w:t>单位</w:t>
      </w:r>
      <w:r>
        <w:rPr>
          <w:rFonts w:hint="eastAsia" w:ascii="仿宋" w:hAnsi="仿宋" w:eastAsia="仿宋"/>
          <w:sz w:val="32"/>
          <w:szCs w:val="32"/>
        </w:rPr>
        <w:t>查处行政审批方面的违纪违规行为。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（十）负责监督和指导镇（区）便民服务中心管理，不断优化镇（区）便民服务中心建设，建立完善县镇（区）政务服务联动工作机制。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大城县行政审批局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行政审批局</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default" w:ascii="Times New Roman" w:hAnsi="Times New Roman" w:eastAsia="仿宋_GB2312" w:cs="Times New Roman"/>
          <w:sz w:val="32"/>
          <w:szCs w:val="32"/>
          <w:lang w:val="en-US"/>
        </w:rPr>
        <w:t>1169.82</w:t>
      </w:r>
      <w:r>
        <w:rPr>
          <w:rFonts w:ascii="Times New Roman" w:hAnsi="Times New Roman" w:eastAsia="仿宋_GB2312" w:cs="Times New Roman"/>
          <w:sz w:val="32"/>
          <w:szCs w:val="32"/>
        </w:rPr>
        <w:t>万元，其中：一般公共预算收入</w:t>
      </w:r>
      <w:r>
        <w:rPr>
          <w:rFonts w:hint="default" w:ascii="Times New Roman" w:hAnsi="Times New Roman" w:eastAsia="仿宋_GB2312" w:cs="Times New Roman"/>
          <w:sz w:val="32"/>
          <w:szCs w:val="32"/>
          <w:lang w:val="en-US"/>
        </w:rPr>
        <w:t>969.82</w:t>
      </w:r>
      <w:r>
        <w:rPr>
          <w:rFonts w:ascii="Times New Roman" w:hAnsi="Times New Roman" w:eastAsia="仿宋_GB2312" w:cs="Times New Roman"/>
          <w:sz w:val="32"/>
          <w:szCs w:val="32"/>
        </w:rPr>
        <w:t>万元，基金预算收入</w:t>
      </w:r>
      <w:r>
        <w:rPr>
          <w:rFonts w:hint="default" w:ascii="Times New Roman" w:hAnsi="Times New Roman" w:eastAsia="仿宋_GB2312" w:cs="Times New Roman"/>
          <w:sz w:val="32"/>
          <w:szCs w:val="32"/>
          <w:lang w:val="en-US"/>
        </w:rPr>
        <w:t>200</w:t>
      </w:r>
      <w:r>
        <w:rPr>
          <w:rFonts w:ascii="Times New Roman" w:hAnsi="Times New Roman" w:eastAsia="仿宋_GB2312" w:cs="Times New Roman"/>
          <w:sz w:val="32"/>
          <w:szCs w:val="32"/>
        </w:rPr>
        <w:t>万元，财政专户核拨收入</w:t>
      </w:r>
      <w:r>
        <w:rPr>
          <w:rFonts w:hint="default" w:ascii="Times New Roman" w:hAnsi="Times New Roman" w:eastAsia="仿宋_GB2312" w:cs="Times New Roman"/>
          <w:sz w:val="32"/>
          <w:szCs w:val="32"/>
          <w:lang w:val="en-US"/>
        </w:rPr>
        <w:t>0</w:t>
      </w:r>
      <w:r>
        <w:rPr>
          <w:rFonts w:ascii="Times New Roman" w:hAnsi="Times New Roman" w:eastAsia="仿宋_GB2312" w:cs="Times New Roman"/>
          <w:sz w:val="32"/>
          <w:szCs w:val="32"/>
        </w:rPr>
        <w:t>万元，其他来源收入</w:t>
      </w:r>
      <w:r>
        <w:rPr>
          <w:rFonts w:hint="default" w:ascii="Times New Roman" w:hAnsi="Times New Roman" w:eastAsia="仿宋_GB2312" w:cs="Times New Roman"/>
          <w:sz w:val="32"/>
          <w:szCs w:val="32"/>
          <w:lang w:val="en-US"/>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default" w:ascii="Times New Roman" w:hAnsi="Times New Roman" w:eastAsia="仿宋_GB2312" w:cs="Times New Roman"/>
          <w:sz w:val="32"/>
          <w:szCs w:val="32"/>
          <w:lang w:val="en-US"/>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default" w:ascii="Times New Roman" w:hAnsi="Times New Roman" w:eastAsia="仿宋_GB2312" w:cs="Times New Roman"/>
          <w:sz w:val="32"/>
          <w:szCs w:val="32"/>
          <w:lang w:val="en-US"/>
        </w:rPr>
        <w:t>1169.82</w:t>
      </w:r>
      <w:r>
        <w:rPr>
          <w:rFonts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US"/>
        </w:rPr>
        <w:t>545.62</w:t>
      </w:r>
      <w:r>
        <w:rPr>
          <w:rFonts w:ascii="Times New Roman" w:hAnsi="Times New Roman" w:eastAsia="仿宋_GB2312" w:cs="Times New Roman"/>
          <w:sz w:val="32"/>
          <w:szCs w:val="32"/>
        </w:rPr>
        <w:t>万元，包括人员类项目经费</w:t>
      </w:r>
      <w:r>
        <w:rPr>
          <w:rFonts w:hint="default" w:ascii="Times New Roman" w:hAnsi="Times New Roman" w:eastAsia="仿宋_GB2312" w:cs="Times New Roman"/>
          <w:sz w:val="32"/>
          <w:szCs w:val="32"/>
          <w:lang w:val="en-US"/>
        </w:rPr>
        <w:t>476.41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default" w:ascii="Times New Roman" w:hAnsi="Times New Roman" w:eastAsia="仿宋_GB2312" w:cs="Times New Roman"/>
          <w:sz w:val="32"/>
          <w:szCs w:val="32"/>
          <w:lang w:val="en-US"/>
        </w:rPr>
        <w:t>69.22</w:t>
      </w:r>
      <w:r>
        <w:rPr>
          <w:rFonts w:ascii="Times New Roman" w:hAnsi="Times New Roman" w:eastAsia="仿宋_GB2312" w:cs="Times New Roman"/>
          <w:sz w:val="32"/>
          <w:szCs w:val="32"/>
        </w:rPr>
        <w:t>万元；运转类其他及特定目标类项目支出</w:t>
      </w:r>
      <w:r>
        <w:rPr>
          <w:rFonts w:hint="default" w:ascii="Times New Roman" w:hAnsi="Times New Roman" w:eastAsia="仿宋_GB2312" w:cs="Times New Roman"/>
          <w:sz w:val="32"/>
          <w:szCs w:val="32"/>
          <w:lang w:val="en-US"/>
        </w:rPr>
        <w:t>624.20</w:t>
      </w:r>
      <w:r>
        <w:rPr>
          <w:rFonts w:ascii="Times New Roman" w:hAnsi="Times New Roman" w:eastAsia="仿宋_GB2312" w:cs="Times New Roman"/>
          <w:sz w:val="32"/>
          <w:szCs w:val="32"/>
        </w:rPr>
        <w:t>万元，包括本级支出，主要为</w:t>
      </w:r>
      <w:r>
        <w:rPr>
          <w:rFonts w:hint="eastAsia" w:ascii="仿宋_GB2312" w:hAnsi="仿宋_GB2312" w:eastAsia="仿宋_GB2312" w:cs="仿宋_GB2312"/>
          <w:sz w:val="32"/>
          <w:szCs w:val="32"/>
          <w:lang w:val="en-US" w:eastAsia="zh-CN"/>
        </w:rPr>
        <w:t>第三方评估资金</w:t>
      </w:r>
      <w:r>
        <w:rPr>
          <w:rFonts w:hint="eastAsia" w:ascii="仿宋_GB2312" w:hAnsi="仿宋_GB2312" w:eastAsia="仿宋_GB2312" w:cs="仿宋_GB2312"/>
          <w:sz w:val="32"/>
          <w:szCs w:val="32"/>
        </w:rPr>
        <w:t>；中央空调、电梯运行及消防设施维护费；网络运行维护费；</w:t>
      </w:r>
      <w:r>
        <w:rPr>
          <w:rFonts w:hint="eastAsia" w:ascii="仿宋_GB2312" w:hAnsi="仿宋_GB2312" w:eastAsia="仿宋_GB2312" w:cs="仿宋_GB2312"/>
          <w:sz w:val="32"/>
          <w:szCs w:val="32"/>
          <w:lang w:eastAsia="zh-CN"/>
        </w:rPr>
        <w:t>开发工程建设项目审批</w:t>
      </w:r>
      <w:r>
        <w:rPr>
          <w:rFonts w:hint="eastAsia" w:ascii="仿宋_GB2312" w:hAnsi="仿宋_GB2312" w:eastAsia="仿宋_GB2312" w:cs="仿宋_GB2312"/>
          <w:sz w:val="32"/>
          <w:szCs w:val="32"/>
        </w:rPr>
        <w:t>系统；工作运转经费；政府购买劳动力服务；</w:t>
      </w:r>
      <w:r>
        <w:rPr>
          <w:rFonts w:hint="eastAsia" w:ascii="仿宋_GB2312" w:hAnsi="仿宋_GB2312" w:eastAsia="仿宋_GB2312" w:cs="仿宋_GB2312"/>
          <w:sz w:val="32"/>
          <w:szCs w:val="32"/>
          <w:lang w:eastAsia="zh-CN"/>
        </w:rPr>
        <w:t>物业管理</w:t>
      </w:r>
      <w:r>
        <w:rPr>
          <w:rFonts w:hint="eastAsia" w:ascii="仿宋_GB2312" w:hAnsi="仿宋_GB2312" w:eastAsia="仿宋_GB2312" w:cs="仿宋_GB2312"/>
          <w:sz w:val="32"/>
          <w:szCs w:val="32"/>
        </w:rPr>
        <w:t>服务费；</w:t>
      </w:r>
      <w:r>
        <w:rPr>
          <w:rFonts w:hint="eastAsia" w:ascii="仿宋_GB2312" w:hAnsi="仿宋_GB2312" w:eastAsia="仿宋_GB2312" w:cs="仿宋_GB2312"/>
          <w:sz w:val="32"/>
          <w:szCs w:val="32"/>
          <w:lang w:eastAsia="zh-CN"/>
        </w:rPr>
        <w:t>政府免费为新开办企业刻制印章费用；内外网安全隔离；房屋租赁费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1169.82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377.25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11.41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366.05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新增</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default" w:ascii="Times New Roman" w:hAnsi="Times New Roman" w:eastAsia="仿宋_GB2312" w:cs="Times New Roman"/>
          <w:sz w:val="32"/>
          <w:szCs w:val="32"/>
          <w:lang w:val="en-US"/>
        </w:rPr>
        <w:t>69.22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我单位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与去年持平，</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rPr>
        <w:t>1</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行政审批局成立以来，紧紧围绕国家、省、市、县“放管服”改革工作要求，秉承“便民、高效、规范、廉洁”的工作理念，推进审批制度改革和政务服务改革，不断提高我县政务服务水平，优化营商环境。一是按要求推进“证照分离”改革；二是深入推进商事制度改革；三是有序推进互联网政务工作；四是全力推进村街服务站提升工程；五是持续推进工程建设项目审批制度改革；六是持续提升大厅整体服务水平；七是抓好公共资源交易工作，提高公共资源交易质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行政许可事项审批</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绩效目标：负责办理投资项目、经贸商务、环保城管、建设交通、文教卫生、社会事务、农林水务等方面行政审批及相关事务。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绩效指标：简化审批程序、规范行政行为、实现一窗式受理、一体化审批、一条龙办理模式。</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rPr>
        <w:t>政务服务平台建设与管理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有序推进互联网政务工作，推进一体化在线政务服务平台建设，推动各级政务服务事项网上办理，实现互联互通，负责政务服务数据采集、汇聚和开发共享工作，负责全县电子证照库建设和管理；对行政审批事项和政务服务事项办理情况和效能进行监督及综合考评；负责推进全县公共资源交易领域信用体系建设。</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绩效指标：打造“管理规范、功能完善、标准统一、办事公开、信息共享、行政高效”的综合性政务服务平台；积极推进公共资源电子化交易平台建设。</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zh-CN"/>
        </w:rPr>
        <w:t>便民服务平台建设与监管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绩效目标：监管供水、银行、燃气、供热、供电等民生服务。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绩效指标：各项民生服务便民高效的服务社会。</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rPr>
        <w:t>做好审批政务管理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绩效目标：开展全县审批系统人员宣传、教育、培训工作；深化行政审批制度改革，加快政府职能转变，提高行政审批效率，创新行政审批管理体制机制；提升审批综合事务管理水平。</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绩效指标：提高审批政务管理人员的业务能力、工作效率，加强科研和文化建设;提升保障能力及管理水平，完成各项工作任务。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rPr>
        <w:t xml:space="preserve"> </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zh-CN"/>
        </w:rPr>
        <w:t>完善制度建设。完善预算绩效管理制度、资金管理办法、工作保障制度，做好信息化建设与维护、机关财务和资产管理、人事管理、党务管理工作等，为全年预算绩效目标的实现奠定基础。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rPr>
        <w:t xml:space="preserve"> </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rPr>
        <w:t>加强支出管理。为加快我单位预算支出进度，提高财政资金使用效益，更好地促进行政审批工作，通过优化支出结构、编细编实预算、加快履行政府采购手续、尽快启动项目、及时支付资金、按规定及进下达资金等多种措施，确保支出进度达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zh-CN"/>
        </w:rPr>
        <w:t>加强绩效运行监控。遵循目标导向、权责对等、全面覆盖、突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rPr>
        <w:t>做好绩效自评。按要求开展上年度单位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p>
    <w:p>
      <w:pPr>
        <w:spacing w:line="584" w:lineRule="exact"/>
        <w:ind w:firstLine="643" w:firstLineChars="200"/>
        <w:rPr>
          <w:rFonts w:hint="eastAsia" w:ascii="楷体_GB2312" w:eastAsia="楷体_GB2312" w:cs="Times New Roman"/>
          <w:b/>
          <w:sz w:val="32"/>
          <w:szCs w:val="32"/>
          <w:lang w:val="zh-CN"/>
        </w:rPr>
      </w:pPr>
      <w:r>
        <w:rPr>
          <w:rFonts w:hint="eastAsia" w:ascii="楷体_GB2312" w:eastAsia="楷体_GB2312" w:cs="Times New Roman"/>
          <w:b/>
          <w:sz w:val="32"/>
          <w:szCs w:val="32"/>
          <w:lang w:val="zh-CN"/>
        </w:rPr>
        <w:t>（四）单位整体支出绩效指标</w:t>
      </w:r>
    </w:p>
    <w:p>
      <w:pPr>
        <w:spacing w:line="584" w:lineRule="exact"/>
        <w:ind w:firstLine="643" w:firstLineChars="200"/>
        <w:rPr>
          <w:rFonts w:hint="eastAsia" w:ascii="楷体_GB2312" w:eastAsia="楷体_GB2312" w:cs="Times New Roman"/>
          <w:b/>
          <w:sz w:val="32"/>
          <w:szCs w:val="32"/>
          <w:lang w:val="zh-CN"/>
        </w:rPr>
      </w:pPr>
    </w:p>
    <w:tbl>
      <w:tblPr>
        <w:tblStyle w:val="10"/>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608"/>
        <w:gridCol w:w="45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5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项目支出预算执行情况</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项目支出预算完成率</w:t>
            </w:r>
          </w:p>
        </w:tc>
        <w:tc>
          <w:tcPr>
            <w:tcW w:w="54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90</w:t>
            </w:r>
          </w:p>
        </w:tc>
        <w:tc>
          <w:tcPr>
            <w:tcW w:w="45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数量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年度项目建设</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完成年度项目建设数</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13</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个</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达标</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达标程度</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hint="default" w:ascii="方正书宋_GBK" w:eastAsia="方正书宋_GBK"/>
              </w:rPr>
            </w:pP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达标</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及时使用</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2022</w:t>
            </w:r>
            <w:r>
              <w:rPr>
                <w:rFonts w:hint="eastAsia" w:ascii="方正书宋_GBK" w:eastAsia="方正书宋_GBK"/>
                <w:lang w:val="en-US" w:eastAsia="zh-CN"/>
              </w:rPr>
              <w:t>年</w:t>
            </w:r>
            <w:r>
              <w:rPr>
                <w:rFonts w:hint="default" w:ascii="方正书宋_GBK" w:eastAsia="方正书宋_GBK"/>
                <w:lang w:val="en-US" w:eastAsia="zh-CN"/>
              </w:rPr>
              <w:t>年底完成</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hint="default" w:ascii="方正书宋_GBK" w:eastAsia="方正书宋_GBK"/>
              </w:rPr>
            </w:pP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及时</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成本控制</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成本控制在预算额度内</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604.2</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万元</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p>
        </w:tc>
        <w:tc>
          <w:tcPr>
            <w:tcW w:w="2172" w:type="dxa"/>
            <w:tcBorders>
              <w:tl2br w:val="nil"/>
              <w:tr2bl w:val="nil"/>
            </w:tcBorders>
            <w:vAlign w:val="center"/>
          </w:tcPr>
          <w:p>
            <w:pPr>
              <w:widowControl/>
              <w:adjustRightInd w:val="0"/>
              <w:snapToGrid w:val="0"/>
              <w:jc w:val="center"/>
              <w:rPr>
                <w:rFonts w:ascii="方正书宋_GBK" w:eastAsia="方正书宋_GBK"/>
              </w:rPr>
            </w:pPr>
          </w:p>
        </w:tc>
        <w:tc>
          <w:tcPr>
            <w:tcW w:w="1483" w:type="dxa"/>
            <w:tcBorders>
              <w:tl2br w:val="nil"/>
              <w:tr2bl w:val="nil"/>
            </w:tcBorders>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提升经济指标</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完成各项目建设有利于推动县城经济发展</w:t>
            </w:r>
          </w:p>
        </w:tc>
        <w:tc>
          <w:tcPr>
            <w:tcW w:w="543"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ascii="方正书宋_GBK" w:eastAsia="方正书宋_GBK"/>
              </w:rPr>
            </w:pPr>
          </w:p>
        </w:tc>
        <w:tc>
          <w:tcPr>
            <w:tcW w:w="453"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显著</w:t>
            </w:r>
          </w:p>
        </w:tc>
        <w:tc>
          <w:tcPr>
            <w:tcW w:w="1277"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p>
        </w:tc>
        <w:tc>
          <w:tcPr>
            <w:tcW w:w="2172" w:type="dxa"/>
            <w:tcBorders>
              <w:tl2br w:val="nil"/>
              <w:tr2bl w:val="nil"/>
            </w:tcBorders>
            <w:vAlign w:val="center"/>
          </w:tcPr>
          <w:p>
            <w:pPr>
              <w:widowControl/>
              <w:adjustRightInd w:val="0"/>
              <w:snapToGrid w:val="0"/>
              <w:jc w:val="center"/>
              <w:rPr>
                <w:rFonts w:ascii="方正书宋_GBK" w:eastAsia="方正书宋_GBK"/>
              </w:rPr>
            </w:pPr>
          </w:p>
        </w:tc>
        <w:tc>
          <w:tcPr>
            <w:tcW w:w="1483" w:type="dxa"/>
            <w:tcBorders>
              <w:tl2br w:val="nil"/>
              <w:tr2bl w:val="nil"/>
            </w:tcBorders>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jc w:val="center"/>
              <w:rPr>
                <w:rFonts w:ascii="方正书宋_GBK" w:eastAsia="方正书宋_GBK"/>
              </w:rPr>
            </w:pPr>
          </w:p>
        </w:tc>
        <w:tc>
          <w:tcPr>
            <w:tcW w:w="2172" w:type="dxa"/>
            <w:tcBorders>
              <w:tl2br w:val="nil"/>
              <w:tr2bl w:val="nil"/>
            </w:tcBorders>
            <w:noWrap/>
            <w:vAlign w:val="center"/>
          </w:tcPr>
          <w:p>
            <w:pPr>
              <w:widowControl/>
              <w:adjustRightInd w:val="0"/>
              <w:snapToGrid w:val="0"/>
              <w:jc w:val="center"/>
              <w:rPr>
                <w:rFonts w:ascii="方正书宋_GBK" w:eastAsia="方正书宋_GBK"/>
              </w:rPr>
            </w:pPr>
          </w:p>
        </w:tc>
        <w:tc>
          <w:tcPr>
            <w:tcW w:w="1483" w:type="dxa"/>
            <w:tcBorders>
              <w:tl2br w:val="nil"/>
              <w:tr2bl w:val="nil"/>
            </w:tcBorders>
            <w:noWrap/>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897"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服务对象满意度</w:t>
            </w:r>
          </w:p>
        </w:tc>
        <w:tc>
          <w:tcPr>
            <w:tcW w:w="2172"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服务对象对项目实施的满意度</w:t>
            </w:r>
          </w:p>
        </w:tc>
        <w:tc>
          <w:tcPr>
            <w:tcW w:w="54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95</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群众满意度</w:t>
            </w:r>
          </w:p>
        </w:tc>
        <w:tc>
          <w:tcPr>
            <w:tcW w:w="2172"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群众满意数量占总数的比例</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95</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280" w:firstLineChars="1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房屋修缮项目</w:t>
      </w:r>
      <w:r>
        <w:rPr>
          <w:rFonts w:ascii="Times New Roman" w:hAnsi="Times New Roman" w:eastAsia="仿宋_GB2312" w:cs="Times New Roman"/>
          <w:sz w:val="28"/>
        </w:rPr>
        <w:t>绩效目标表</w:t>
      </w:r>
      <w:bookmarkStart w:id="0" w:name="_Toc29799657"/>
      <w:bookmarkEnd w:id="0"/>
    </w:p>
    <w:tbl>
      <w:tblPr>
        <w:tblStyle w:val="10"/>
        <w:tblW w:w="146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4"/>
        <w:gridCol w:w="1140"/>
        <w:gridCol w:w="2798"/>
        <w:gridCol w:w="3780"/>
        <w:gridCol w:w="1320"/>
        <w:gridCol w:w="1050"/>
        <w:gridCol w:w="1544"/>
        <w:gridCol w:w="1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7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13102522P00973110001C</w:t>
            </w:r>
            <w:r>
              <w:rPr>
                <w:rFonts w:hint="eastAsia" w:ascii="宋体" w:hAnsi="宋体" w:eastAsia="宋体" w:cs="宋体"/>
                <w:i w:val="0"/>
                <w:iCs w:val="0"/>
                <w:color w:val="000000"/>
                <w:sz w:val="18"/>
                <w:szCs w:val="18"/>
                <w:u w:val="none"/>
                <w:lang w:val="en-US" w:eastAsia="zh-CN"/>
              </w:rPr>
              <w:t>房屋修缮</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31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7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4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政务中心大楼共五层，楼顶为阶梯设计，楼顶防水总面积3800平米，通过铺设卷材，能够解决漏雨问题。保障政务服务中心整栋大楼财产安全，避免安全事故发生。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39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outlineLvl w:val="1"/>
              <w:rPr>
                <w:rFonts w:ascii="Times New Roman" w:hAnsi="Times New Roman" w:eastAsia="仿宋_GB2312" w:cs="Times New Roman"/>
                <w:vanish/>
                <w:sz w:val="28"/>
              </w:rPr>
            </w:pPr>
            <w:r>
              <w:rPr>
                <w:rFonts w:hint="eastAsia" w:ascii="宋体" w:hAnsi="宋体" w:eastAsia="宋体" w:cs="宋体"/>
                <w:i w:val="0"/>
                <w:iCs w:val="0"/>
                <w:color w:val="000000"/>
                <w:kern w:val="0"/>
                <w:sz w:val="18"/>
                <w:szCs w:val="18"/>
                <w:u w:val="none"/>
                <w:lang w:val="en-US" w:eastAsia="zh-CN" w:bidi="ar"/>
              </w:rPr>
              <w:t>政务中心大楼共五层，楼顶为阶梯设计，楼顶防水总面积3800平米，通过铺设卷材，能够解决漏雨问题</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保障政务服务中心整栋大楼财产安全，避免安全事故发生。</w:t>
            </w: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hint="eastAsia" w:ascii="宋体" w:hAnsi="宋体" w:eastAsia="宋体" w:cs="宋体"/>
                <w:i w:val="0"/>
                <w:iCs w:val="0"/>
                <w:color w:val="000000"/>
                <w:sz w:val="18"/>
                <w:szCs w:val="18"/>
                <w:u w:val="none"/>
              </w:rPr>
            </w:pPr>
            <w:r>
              <w:rPr>
                <w:rFonts w:ascii="Times New Roman" w:hAnsi="Times New Roman" w:eastAsia="仿宋_GB2312" w:cs="Times New Roman"/>
                <w:vanish/>
                <w:sz w:val="28"/>
              </w:rPr>
              <w:t>{ TC 2、办公自动化（OA）和督查督办系统升级及推广费绩效目标表 \f C \l 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数量指标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3800平方米</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通过铺设防水卷材，解决屋顶漏水问题。</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3800</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平方米</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质量指标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质量达标</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质量达标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达标</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时效指标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本年完成</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6月底完成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及时</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成本指标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成本控制</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成本控制在预算额度内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社会效益指标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解决屋顶漏雨问题</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避免安全事故发生</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显著</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经济效益指标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隐患消除情况</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隐患消除情况</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显著</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可持续影响指标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解决屋顶漏雨问题，保证大厅正常办公</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正常使用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显著</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服务对象满意度指标</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服务对象满意度</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服务对象对项</w:t>
            </w:r>
            <w:r>
              <w:rPr>
                <w:rFonts w:hint="eastAsia" w:ascii="宋体" w:hAnsi="宋体" w:cs="宋体"/>
                <w:i w:val="0"/>
                <w:iCs w:val="0"/>
                <w:color w:val="000000"/>
                <w:sz w:val="18"/>
                <w:szCs w:val="18"/>
                <w:u w:val="none"/>
                <w:lang w:val="en-US" w:eastAsia="zh-CN"/>
              </w:rPr>
              <w:t>目</w:t>
            </w:r>
            <w:r>
              <w:rPr>
                <w:rFonts w:hint="eastAsia" w:ascii="宋体" w:hAnsi="宋体" w:eastAsia="宋体" w:cs="宋体"/>
                <w:i w:val="0"/>
                <w:iCs w:val="0"/>
                <w:color w:val="000000"/>
                <w:sz w:val="18"/>
                <w:szCs w:val="18"/>
                <w:u w:val="none"/>
                <w:lang w:val="en-US" w:eastAsia="zh-CN"/>
              </w:rPr>
              <w:t>实施的满意度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《合同》</w:t>
            </w:r>
          </w:p>
        </w:tc>
      </w:tr>
    </w:tbl>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2.内外网安全隔离</w:t>
      </w:r>
      <w:r>
        <w:rPr>
          <w:rFonts w:ascii="Times New Roman" w:hAnsi="Times New Roman" w:eastAsia="仿宋_GB2312" w:cs="Times New Roman"/>
          <w:sz w:val="28"/>
        </w:rPr>
        <w:t>绩效目标表</w:t>
      </w:r>
    </w:p>
    <w:tbl>
      <w:tblPr>
        <w:tblStyle w:val="10"/>
        <w:tblpPr w:leftFromText="180" w:rightFromText="180" w:vertAnchor="text" w:horzAnchor="page" w:tblpX="1147" w:tblpY="137"/>
        <w:tblOverlap w:val="never"/>
        <w:tblW w:w="14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09"/>
        <w:gridCol w:w="1200"/>
        <w:gridCol w:w="1575"/>
        <w:gridCol w:w="2910"/>
        <w:gridCol w:w="660"/>
        <w:gridCol w:w="690"/>
        <w:gridCol w:w="1890"/>
        <w:gridCol w:w="1230"/>
        <w:gridCol w:w="69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89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[13102522P00972810001W]2022年内外网安全隔离</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89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87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为了保障网络安全，我单位拟于3月份组织招投标，4月份进行内外网安全隔离，6月份预计项目完成。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80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7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为了保障网络安全，我单位拟于3月底组织招投标，4月份进行内外网安全隔离，6月份预计项目完成。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9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内外网安全隔离</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实行内外网安全隔离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套</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8"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项目实施阶段完成情况</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1.2022年3月底组织内外网安全隔离招投标；2.2022年4月份进行内外网安全隔离；3.6月份项目完成。</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保障网络安全，防止信息泄露</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三网合一，达到信息共享，保障网络安全。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保障网络安全</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保障网络安全，提高网络防护能力和水平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服务对象对该项目的满意度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大保发（2020）1号</w:t>
            </w:r>
          </w:p>
        </w:tc>
      </w:tr>
    </w:tbl>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rPr>
        <w:t>3.第三方评估资金</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9"/>
        <w:gridCol w:w="1260"/>
        <w:gridCol w:w="2730"/>
        <w:gridCol w:w="3165"/>
        <w:gridCol w:w="1200"/>
        <w:gridCol w:w="405"/>
        <w:gridCol w:w="1755"/>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1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[13102522P009727100017]第三方评估资金</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1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70</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对2022年度在我局立项的固定资产投资项目可行性研究报告、社会稳定风险、初步设计进行专家评审。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37%</w:t>
            </w:r>
          </w:p>
        </w:tc>
        <w:tc>
          <w:tcPr>
            <w:tcW w:w="3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82%</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71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对2022年度在我局立项的固定资产资项目可研报告、社会稳定性风险、初步设计进行专家评审，进一步提高政府投资决策的科学性，更好的实现经济、社会效益。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评审数量</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进行专家评审业务数量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39</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个</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根据2021年度评审项目数量估计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根据2021年度评审项目数量估计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及时完成</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到2022年11月底完成</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根据2021年度评审项目数量估计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根据2021年度评审项目数量估计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有利于社会发展需要，提高政府投资决策科学性</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项目建设有利于加快县城经济发展</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改善城市面貌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（发改投资〔2012〕2492号）、（发改投资〔2018〕1604号）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提升经济指标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项目建设有利于推动经济发展，提升土地商业价值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（发改投资〔2012〕2492号）、（发改投资〔2018〕1604号）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符合社会发展需要</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项目建设可推动经济发展，提供就业机会，对于构建和谐社会意义重大</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（发改投资〔2012〕2492号）、（发改投资〔2018〕1604号）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bl>
    <w:p>
      <w:pPr>
        <w:numPr>
          <w:ilvl w:val="0"/>
          <w:numId w:val="0"/>
        </w:numPr>
        <w:jc w:val="left"/>
        <w:outlineLvl w:val="1"/>
        <w:rPr>
          <w:rFonts w:ascii="Times New Roman" w:hAnsi="Times New Roman" w:eastAsia="仿宋_GB2312" w:cs="Times New Roman"/>
          <w:vanish/>
          <w:sz w:val="28"/>
        </w:rPr>
        <w:sectPr>
          <w:footerReference r:id="rId3" w:type="default"/>
          <w:pgSz w:w="16839" w:h="11907" w:orient="landscape"/>
          <w:pgMar w:top="1361" w:right="1020" w:bottom="1361" w:left="1020" w:header="851" w:footer="992" w:gutter="0"/>
          <w:cols w:space="720" w:num="1"/>
          <w:docGrid w:type="lines" w:linePitch="312" w:charSpace="0"/>
        </w:sectPr>
      </w:pPr>
    </w:p>
    <w:p>
      <w:pPr>
        <w:numPr>
          <w:ilvl w:val="0"/>
          <w:numId w:val="0"/>
        </w:numPr>
        <w:jc w:val="left"/>
        <w:outlineLvl w:val="1"/>
        <w:rPr>
          <w:rFonts w:ascii="Times New Roman" w:hAnsi="Times New Roman" w:eastAsia="仿宋_GB2312" w:cs="Times New Roman"/>
          <w:vanish/>
          <w:sz w:val="28"/>
        </w:rPr>
        <w:sectPr>
          <w:pgSz w:w="16839" w:h="11907" w:orient="landscape"/>
          <w:pgMar w:top="1361" w:right="1020" w:bottom="1361" w:left="1020" w:header="851" w:footer="992" w:gutter="0"/>
          <w:cols w:space="720" w:num="1"/>
          <w:docGrid w:type="lines" w:linePitch="312" w:charSpace="0"/>
        </w:sectPr>
      </w:pPr>
    </w:p>
    <w:p>
      <w:pPr>
        <w:numPr>
          <w:ilvl w:val="0"/>
          <w:numId w:val="0"/>
        </w:numPr>
        <w:jc w:val="left"/>
        <w:outlineLvl w:val="1"/>
        <w:rPr>
          <w:rFonts w:ascii="Times New Roman" w:hAnsi="Times New Roman" w:eastAsia="仿宋_GB2312" w:cs="Times New Roman"/>
          <w:vanish/>
          <w:sz w:val="28"/>
        </w:rPr>
        <w:sectPr>
          <w:pgSz w:w="11907" w:h="16839"/>
          <w:pgMar w:top="1020" w:right="1361" w:bottom="1020" w:left="1361" w:header="851" w:footer="992" w:gutter="0"/>
          <w:cols w:space="720" w:num="1"/>
          <w:docGrid w:type="lines" w:linePitch="312" w:charSpace="0"/>
        </w:sect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sectPr>
          <w:pgSz w:w="16839" w:h="11907" w:orient="landscape"/>
          <w:pgMar w:top="1361" w:right="1020" w:bottom="1361" w:left="1020" w:header="851" w:footer="992" w:gutter="0"/>
          <w:cols w:space="720" w:num="1"/>
          <w:docGrid w:type="lines" w:linePitch="312" w:charSpace="0"/>
        </w:sect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 TC 2、办公自动化（OA）和督查督办系统升级及推广费绩效目标表 \f C \l 1 }</w:t>
      </w:r>
      <w:r>
        <w:rPr>
          <w:rFonts w:hint="default" w:ascii="Times New Roman" w:hAnsi="Times New Roman" w:eastAsia="仿宋_GB2312" w:cs="Times New Roman"/>
          <w:sz w:val="28"/>
          <w:lang w:val="en-US"/>
        </w:rPr>
        <w:t>4.</w:t>
      </w:r>
      <w:r>
        <w:rPr>
          <w:rFonts w:hint="default" w:ascii="Times New Roman" w:hAnsi="Times New Roman" w:eastAsia="仿宋_GB2312" w:cs="Times New Roman"/>
          <w:sz w:val="28"/>
          <w:lang w:val="en-US" w:eastAsia="zh-CN"/>
        </w:rPr>
        <w:t>工作运转经费</w:t>
      </w:r>
      <w:r>
        <w:rPr>
          <w:rFonts w:ascii="Times New Roman" w:hAnsi="Times New Roman" w:eastAsia="仿宋_GB2312" w:cs="Times New Roman"/>
          <w:sz w:val="28"/>
        </w:rPr>
        <w:t>绩效目标表</w:t>
      </w:r>
    </w:p>
    <w:tbl>
      <w:tblPr>
        <w:tblStyle w:val="10"/>
        <w:tblW w:w="146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9"/>
        <w:gridCol w:w="1860"/>
        <w:gridCol w:w="2385"/>
        <w:gridCol w:w="2820"/>
        <w:gridCol w:w="660"/>
        <w:gridCol w:w="735"/>
        <w:gridCol w:w="1485"/>
        <w:gridCol w:w="3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10"/>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[13102522P00972010001F]工作运转经费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45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 xml:space="preserve">72  </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5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满足工作需要，保证工作正常运行.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2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2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28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1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机构改革后，审批事项划转</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进驻政务服务中心集中办公，人员增加，费用增加，保障工作正常运行，提供高效优质服务。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行政审批事项划转工作</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完成行政审批事项划转工作</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w:t>
            </w:r>
            <w:r>
              <w:rPr>
                <w:rFonts w:hint="eastAsia" w:ascii="宋体" w:hAnsi="宋体" w:cs="宋体"/>
                <w:i w:val="0"/>
                <w:iCs w:val="0"/>
                <w:color w:val="000000"/>
                <w:kern w:val="0"/>
                <w:sz w:val="18"/>
                <w:szCs w:val="18"/>
                <w:u w:val="none"/>
                <w:lang w:val="en-US" w:eastAsia="zh-CN" w:bidi="ar"/>
              </w:rPr>
              <w:t>年</w:t>
            </w:r>
            <w:r>
              <w:rPr>
                <w:rFonts w:hint="eastAsia" w:ascii="宋体" w:hAnsi="宋体" w:eastAsia="宋体" w:cs="宋体"/>
                <w:i w:val="0"/>
                <w:iCs w:val="0"/>
                <w:color w:val="000000"/>
                <w:kern w:val="0"/>
                <w:sz w:val="18"/>
                <w:szCs w:val="18"/>
                <w:u w:val="none"/>
                <w:lang w:val="en-US" w:eastAsia="zh-CN" w:bidi="ar"/>
              </w:rPr>
              <w:t>年底完成</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群众办事更加便利，政务服务只进“一扇门”</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实现审批服务进驻审批大厅办理</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职工工作效果</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增加投入，对提高职工工作效果的影响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群众办事效果</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增加投入，对提高群众工作效果的影响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职工对项目实施的满意度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按照2022年预算基本支出标准计算</w:t>
            </w:r>
          </w:p>
        </w:tc>
      </w:tr>
    </w:tbl>
    <w:p>
      <w:pPr>
        <w:numPr>
          <w:ilvl w:val="0"/>
          <w:numId w:val="0"/>
        </w:numPr>
        <w:jc w:val="left"/>
        <w:outlineLvl w:val="1"/>
        <w:rPr>
          <w:rFonts w:hint="default" w:ascii="Times New Roman" w:hAnsi="Times New Roman" w:eastAsia="仿宋_GB2312" w:cs="Times New Roman"/>
          <w:sz w:val="28"/>
          <w:lang w:val="en-US" w:eastAsia="zh-CN"/>
        </w:rPr>
        <w:sectPr>
          <w:pgSz w:w="16839" w:h="11907" w:orient="landscape"/>
          <w:pgMar w:top="1361" w:right="1020" w:bottom="1361" w:left="1020" w:header="851" w:footer="992" w:gutter="0"/>
          <w:cols w:space="720" w:num="1"/>
          <w:docGrid w:type="lines" w:linePitch="312" w:charSpace="0"/>
        </w:sectPr>
      </w:pPr>
    </w:p>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5.</w:t>
      </w:r>
      <w:r>
        <w:rPr>
          <w:rFonts w:hint="eastAsia" w:ascii="Times New Roman" w:hAnsi="Times New Roman" w:eastAsia="仿宋_GB2312" w:cs="Times New Roman"/>
          <w:sz w:val="28"/>
          <w:lang w:val="en-US" w:eastAsia="zh-CN"/>
        </w:rPr>
        <w:t>购</w:t>
      </w:r>
      <w:r>
        <w:rPr>
          <w:rFonts w:hint="default" w:ascii="Times New Roman" w:hAnsi="Times New Roman" w:eastAsia="仿宋_GB2312" w:cs="Times New Roman"/>
          <w:sz w:val="28"/>
          <w:lang w:val="en-US" w:eastAsia="zh-CN"/>
        </w:rPr>
        <w:t>买劳动力服务</w:t>
      </w:r>
      <w:r>
        <w:rPr>
          <w:rFonts w:ascii="Times New Roman" w:hAnsi="Times New Roman" w:eastAsia="仿宋_GB2312" w:cs="Times New Roman"/>
          <w:sz w:val="28"/>
        </w:rPr>
        <w:t>绩效目标表</w:t>
      </w:r>
    </w:p>
    <w:tbl>
      <w:tblPr>
        <w:tblStyle w:val="10"/>
        <w:tblW w:w="1466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3"/>
        <w:gridCol w:w="1729"/>
        <w:gridCol w:w="1398"/>
        <w:gridCol w:w="4119"/>
        <w:gridCol w:w="1485"/>
        <w:gridCol w:w="1281"/>
        <w:gridCol w:w="1449"/>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2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[13102522P009724100016]购买劳动力服务</w:t>
            </w: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2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104.40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机构改革后，单位的业务发展变化很大，对工作人员的需求也日益增加，满足不了当前工作需要，需要以劳务派遣用工形式招录人员满足工作需要，保证工作正常运行。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7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机构改革后，单位的业务发展变化很大，对工作人员的需求也日益增加，满足不了当前工作需要，需要以劳务派遣用工形式招录人员满足工作需要，保证工作正常运行。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1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1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购买劳动力服务</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完成购买劳动力服务</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104.4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满足工作需要</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解决就业，补充单位工作力量，更好的服务群众</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职工工作效果</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增加投入，对提高职工工作效果的影响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群众办事效果</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增加投入，对提高群众办事效果的影响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职工对项目实施的满意度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《劳务承包合同》</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default" w:ascii="Times New Roman" w:hAnsi="Times New Roman" w:eastAsia="仿宋_GB2312" w:cs="Times New Roman"/>
          <w:sz w:val="28"/>
          <w:lang w:val="en-US" w:eastAsia="zh-CN"/>
        </w:rPr>
        <w:t>政府免费为新开办企业刻制印章费用</w:t>
      </w:r>
      <w:r>
        <w:rPr>
          <w:rFonts w:ascii="Times New Roman" w:hAnsi="Times New Roman" w:eastAsia="仿宋_GB2312" w:cs="Times New Roman"/>
          <w:sz w:val="28"/>
        </w:rPr>
        <w:t>绩效目标表</w:t>
      </w:r>
    </w:p>
    <w:tbl>
      <w:tblPr>
        <w:tblStyle w:val="10"/>
        <w:tblW w:w="146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8"/>
        <w:gridCol w:w="1766"/>
        <w:gridCol w:w="2780"/>
        <w:gridCol w:w="2975"/>
        <w:gridCol w:w="1260"/>
        <w:gridCol w:w="900"/>
        <w:gridCol w:w="160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5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[13102522P00972310001G]政府免费为新开办企业刻制印章费用</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5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5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将企业注册登记与印章刻制环节合并，由政府免费为新开办企业提供印章并与营业执照一并发放。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5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8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减化审批流程，降低企业开办成本，为新开办内资企业提供免费印章。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计划完成3000户企业印章刻制</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完成3000户企业印章刻制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户</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正常运行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降低企业开办成本，简化审批流程</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让企业群众切实增强获得感</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免费</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减少企业开办成本</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群众办事成效</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减</w:t>
            </w:r>
            <w:r>
              <w:rPr>
                <w:rFonts w:hint="eastAsia" w:ascii="宋体" w:hAnsi="宋体" w:cs="宋体"/>
                <w:i w:val="0"/>
                <w:iCs w:val="0"/>
                <w:color w:val="000000"/>
                <w:kern w:val="0"/>
                <w:sz w:val="18"/>
                <w:szCs w:val="18"/>
                <w:u w:val="none"/>
                <w:lang w:val="en-US" w:eastAsia="zh-CN" w:bidi="ar"/>
              </w:rPr>
              <w:t>少</w:t>
            </w:r>
            <w:r>
              <w:rPr>
                <w:rFonts w:hint="eastAsia" w:ascii="宋体" w:hAnsi="宋体" w:eastAsia="宋体" w:cs="宋体"/>
                <w:i w:val="0"/>
                <w:iCs w:val="0"/>
                <w:color w:val="000000"/>
                <w:kern w:val="0"/>
                <w:sz w:val="18"/>
                <w:szCs w:val="18"/>
                <w:u w:val="none"/>
                <w:lang w:val="en-US" w:eastAsia="zh-CN" w:bidi="ar"/>
              </w:rPr>
              <w:t>企业开办成本，简化审批流程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《印章刻制协议书》</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hint="default" w:ascii="Times New Roman" w:hAnsi="Times New Roman" w:eastAsia="仿宋_GB2312" w:cs="Times New Roman"/>
          <w:sz w:val="28"/>
          <w:lang w:val="en-US" w:eastAsia="zh-CN"/>
        </w:rPr>
        <w:t>物业管理服务费</w:t>
      </w:r>
      <w:r>
        <w:rPr>
          <w:rFonts w:ascii="Times New Roman" w:hAnsi="Times New Roman" w:eastAsia="仿宋_GB2312" w:cs="Times New Roman"/>
          <w:sz w:val="28"/>
        </w:rPr>
        <w:t>绩效目标表</w:t>
      </w:r>
    </w:p>
    <w:tbl>
      <w:tblPr>
        <w:tblStyle w:val="10"/>
        <w:tblW w:w="1484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4"/>
        <w:gridCol w:w="1665"/>
        <w:gridCol w:w="2100"/>
        <w:gridCol w:w="5340"/>
        <w:gridCol w:w="1020"/>
        <w:gridCol w:w="630"/>
        <w:gridCol w:w="1665"/>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9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[13102522P00971910001B]物业管理服务费</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91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给单位职工和办事群众提供舒适清洁的办公环境和安全环境，保证行政审批大厅工作正常有序的运行。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完成审批大厅保洁、保安服务。为单位职工和办事群众提供舒适清洁的办公环境和安全环境，保证行政审批大厅工作正常有序的运行。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审批大厅共1.2万多平方米</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完成审批大厅共1.2万多平方米保洁保安服务</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万平方米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楼内卫生</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完成每日经常巡视、及时清洁</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审批大厅内外24巡视执勤</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完成每日24小时执勤巡逻</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服务达标</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服务达标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每天进行清洁，保洁工作和安保工作</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保证及时、专业、安全运行</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良好的环境提升单位的氛围和风貌</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提供舒适清洁的办公环境和安全环境，保证行政审批大厅工作正常有序的运行</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职工工作效果</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舒适工作环境，对提高职工工作效果的影响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群众办事成效</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舒适工作环境，对提高群众工作效果的影响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内部职工满意度</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职工对整洁安全办公环境的满意度</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服务对象对优质有序办公环境的满意度</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8.微型消防站建设</w:t>
      </w:r>
      <w:r>
        <w:rPr>
          <w:rFonts w:ascii="Times New Roman" w:hAnsi="Times New Roman" w:eastAsia="仿宋_GB2312" w:cs="Times New Roman"/>
          <w:sz w:val="28"/>
        </w:rPr>
        <w:t>绩效目标表</w:t>
      </w:r>
    </w:p>
    <w:tbl>
      <w:tblPr>
        <w:tblStyle w:val="10"/>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66"/>
        <w:gridCol w:w="1773"/>
        <w:gridCol w:w="2736"/>
        <w:gridCol w:w="1831"/>
        <w:gridCol w:w="777"/>
        <w:gridCol w:w="1662"/>
        <w:gridCol w:w="2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[13102522P009729100026]微型消防站建设</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 xml:space="preserve">5 </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按上级要求的时间节点完成既定的工作目标，建设微型消防站，提高消防安全性。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2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按上级要求的时间节点完成既定的工作目标，建设微型消防站，提高消防安全性。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3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3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微型消防站</w:t>
            </w:r>
            <w:r>
              <w:rPr>
                <w:rFonts w:hint="eastAsia" w:ascii="宋体" w:hAnsi="宋体" w:cs="宋体"/>
                <w:i w:val="0"/>
                <w:iCs w:val="0"/>
                <w:color w:val="000000"/>
                <w:kern w:val="0"/>
                <w:sz w:val="18"/>
                <w:szCs w:val="18"/>
                <w:u w:val="none"/>
                <w:lang w:val="en-US" w:eastAsia="zh-CN" w:bidi="ar"/>
              </w:rPr>
              <w:t>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完</w:t>
            </w:r>
            <w:r>
              <w:rPr>
                <w:rFonts w:hint="eastAsia" w:ascii="宋体" w:hAnsi="宋体" w:eastAsia="宋体" w:cs="宋体"/>
                <w:i w:val="0"/>
                <w:iCs w:val="0"/>
                <w:color w:val="000000"/>
                <w:kern w:val="0"/>
                <w:sz w:val="18"/>
                <w:szCs w:val="18"/>
                <w:u w:val="none"/>
                <w:lang w:val="en-US" w:eastAsia="zh-CN" w:bidi="ar"/>
              </w:rPr>
              <w:t>成微型消防站</w:t>
            </w:r>
            <w:r>
              <w:rPr>
                <w:rFonts w:hint="eastAsia" w:ascii="宋体" w:hAnsi="宋体" w:cs="宋体"/>
                <w:i w:val="0"/>
                <w:iCs w:val="0"/>
                <w:color w:val="000000"/>
                <w:kern w:val="0"/>
                <w:sz w:val="18"/>
                <w:szCs w:val="18"/>
                <w:u w:val="none"/>
                <w:lang w:val="en-US" w:eastAsia="zh-CN" w:bidi="ar"/>
              </w:rPr>
              <w:t>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套</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优化环境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提高安全性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形成</w:t>
            </w:r>
            <w:r>
              <w:rPr>
                <w:rFonts w:hint="eastAsia" w:ascii="宋体" w:hAnsi="宋体" w:eastAsia="宋体" w:cs="宋体"/>
                <w:i w:val="0"/>
                <w:iCs w:val="0"/>
                <w:color w:val="000000"/>
                <w:kern w:val="0"/>
                <w:sz w:val="18"/>
                <w:szCs w:val="18"/>
                <w:u w:val="none"/>
                <w:lang w:val="en-US" w:eastAsia="zh-CN" w:bidi="ar"/>
              </w:rPr>
              <w:t>联防联控机制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发挥消防安全作用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大审批【2021】29号</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default" w:ascii="Times New Roman" w:hAnsi="Times New Roman" w:eastAsia="仿宋_GB2312" w:cs="Times New Roman"/>
          <w:sz w:val="28"/>
          <w:lang w:val="en-US" w:eastAsia="zh-CN"/>
        </w:rPr>
        <w:t>劳务派遣5人工资、保险</w:t>
      </w:r>
      <w:r>
        <w:rPr>
          <w:rFonts w:ascii="Times New Roman" w:hAnsi="Times New Roman" w:eastAsia="仿宋_GB2312" w:cs="Times New Roman"/>
          <w:sz w:val="28"/>
        </w:rPr>
        <w:t>绩效目标表</w:t>
      </w:r>
    </w:p>
    <w:tbl>
      <w:tblPr>
        <w:tblStyle w:val="10"/>
        <w:tblW w:w="1469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0"/>
        <w:gridCol w:w="1220"/>
        <w:gridCol w:w="1561"/>
        <w:gridCol w:w="2788"/>
        <w:gridCol w:w="960"/>
        <w:gridCol w:w="885"/>
        <w:gridCol w:w="1455"/>
        <w:gridCol w:w="4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[13102522P00877810001E]劳务派遣5人工资、保险</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59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9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5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用于劳务派遣人员工资、保险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总人数</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招录劳务派遣人数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推动工作开展</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推动工作开展</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可持续性服务</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可持续性服务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服务对象对劳务派遣人员的整体满意度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职工对劳务派遣人员的满意度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default" w:ascii="Times New Roman" w:hAnsi="Times New Roman" w:eastAsia="仿宋_GB2312" w:cs="Times New Roman"/>
          <w:sz w:val="28"/>
          <w:lang w:val="en-US" w:eastAsia="zh-CN"/>
        </w:rPr>
        <w:t>开发工程建设项目审批系统资金</w:t>
      </w:r>
      <w:r>
        <w:rPr>
          <w:rFonts w:ascii="Times New Roman" w:hAnsi="Times New Roman" w:eastAsia="仿宋_GB2312" w:cs="Times New Roman"/>
          <w:sz w:val="28"/>
        </w:rPr>
        <w:t>绩效目标表</w:t>
      </w:r>
    </w:p>
    <w:tbl>
      <w:tblPr>
        <w:tblStyle w:val="10"/>
        <w:tblW w:w="146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6"/>
        <w:gridCol w:w="1982"/>
        <w:gridCol w:w="2171"/>
        <w:gridCol w:w="2741"/>
        <w:gridCol w:w="1611"/>
        <w:gridCol w:w="951"/>
        <w:gridCol w:w="1584"/>
        <w:gridCol w:w="2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8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[13102522P00972610001H]开发工程建设项目审批系统资金</w:t>
            </w: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3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8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47.80万元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5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2020年10月份系统建设项目完成</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2022年支付剩余尾款。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1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42%</w:t>
            </w:r>
          </w:p>
        </w:tc>
        <w:tc>
          <w:tcPr>
            <w:tcW w:w="41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7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2020年10月份项目已经完成</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2022年支付剩余尾款。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9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工程建设项目审批系统</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开发工程建设项目审批系统</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套</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任务完成及时情况</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任务完成及时情况</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47.8</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网络安全稳定运行</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网络安全稳定运行</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办事群众满意度</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办事群众对项目实施的满意度</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2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企业对项目实施的满意度</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大审批（2020）48号</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11.中央空调、电梯运行及消防设施维护费</w:t>
      </w:r>
      <w:r>
        <w:rPr>
          <w:rFonts w:ascii="Times New Roman" w:hAnsi="Times New Roman" w:eastAsia="仿宋_GB2312" w:cs="Times New Roman"/>
          <w:sz w:val="28"/>
        </w:rPr>
        <w:t>绩效目标表</w:t>
      </w:r>
    </w:p>
    <w:tbl>
      <w:tblPr>
        <w:tblStyle w:val="10"/>
        <w:tblW w:w="147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9"/>
        <w:gridCol w:w="1838"/>
        <w:gridCol w:w="1662"/>
        <w:gridCol w:w="3520"/>
        <w:gridCol w:w="1040"/>
        <w:gridCol w:w="1050"/>
        <w:gridCol w:w="2055"/>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left"/>
              <w:outlineLvl w:val="1"/>
              <w:rPr>
                <w:rFonts w:ascii="Times New Roman" w:hAnsi="Times New Roman" w:eastAsia="仿宋_GB2312" w:cs="Times New Roman"/>
                <w:sz w:val="28"/>
              </w:rPr>
            </w:pPr>
            <w:r>
              <w:rPr>
                <w:rFonts w:hint="eastAsia" w:ascii="宋体" w:hAnsi="宋体" w:eastAsia="宋体" w:cs="宋体"/>
                <w:i w:val="0"/>
                <w:iCs w:val="0"/>
                <w:color w:val="000000"/>
                <w:kern w:val="0"/>
                <w:sz w:val="18"/>
                <w:szCs w:val="18"/>
                <w:u w:val="none"/>
                <w:lang w:val="en-US" w:eastAsia="zh-CN" w:bidi="ar"/>
              </w:rPr>
              <w:t>[13102522P00972210001T]中央空调、电梯运行及消防设施维护费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41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1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 xml:space="preserve">10 </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9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空调、电梯、消防设施进行维修保养，为职工和群众提供安全舒适的工作环境，同杜绝隐患，保障正常工作运行。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w:t>
            </w: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60%</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5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空调、电梯、消防设施进行维修保养，为职工和群众提供安全舒适的工作环境，同</w:t>
            </w:r>
            <w:r>
              <w:rPr>
                <w:rFonts w:hint="eastAsia" w:ascii="宋体" w:hAnsi="宋体" w:cs="宋体"/>
                <w:i w:val="0"/>
                <w:iCs w:val="0"/>
                <w:color w:val="000000"/>
                <w:kern w:val="0"/>
                <w:sz w:val="18"/>
                <w:szCs w:val="18"/>
                <w:u w:val="none"/>
                <w:lang w:val="en-US" w:eastAsia="zh-CN" w:bidi="ar"/>
              </w:rPr>
              <w:t>时</w:t>
            </w:r>
            <w:r>
              <w:rPr>
                <w:rFonts w:hint="eastAsia" w:ascii="宋体" w:hAnsi="宋体" w:eastAsia="宋体" w:cs="宋体"/>
                <w:i w:val="0"/>
                <w:iCs w:val="0"/>
                <w:color w:val="000000"/>
                <w:kern w:val="0"/>
                <w:sz w:val="18"/>
                <w:szCs w:val="18"/>
                <w:u w:val="none"/>
                <w:lang w:val="en-US" w:eastAsia="zh-CN" w:bidi="ar"/>
              </w:rPr>
              <w:t>杜绝隐患，保障正常工作运行。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设备检修维护次数</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设备检修维护次数</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定期、不定期</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完成率</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完成率</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具有很好的时效性</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保证正常安全运行</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便民利民</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给群众提供安全舒适的办事环境</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职工工作效果</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舒适工作环境，对提高职工工作效果的影响</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群众办事成效</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舒适工作环境，对提高群众工作效果的影响</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职工对项目实施的满意度</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3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维修保养合同</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12.网络运行维护费</w:t>
      </w:r>
      <w:r>
        <w:rPr>
          <w:rFonts w:ascii="Times New Roman" w:hAnsi="Times New Roman" w:eastAsia="仿宋_GB2312" w:cs="Times New Roman"/>
          <w:sz w:val="28"/>
        </w:rPr>
        <w:t>绩效目标表</w:t>
      </w:r>
    </w:p>
    <w:tbl>
      <w:tblPr>
        <w:tblStyle w:val="10"/>
        <w:tblW w:w="1475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94"/>
        <w:gridCol w:w="1545"/>
        <w:gridCol w:w="2715"/>
        <w:gridCol w:w="3210"/>
        <w:gridCol w:w="660"/>
        <w:gridCol w:w="495"/>
        <w:gridCol w:w="570"/>
        <w:gridCol w:w="1290"/>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4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[13102522P009721100015]网络运行维护费</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40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4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20</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6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宽带的使用，保证大厅窗口正常使用互联网；电子设备维护，更换取号机保证业务的正常进行，为群众提供优质服务。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2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47.5%</w:t>
            </w: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09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1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为了保证大厅工作人员正常办公，为群众提供优质服务， 6份支付上半年光纤费用，8月份支付下半年光纤费用。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1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宽带运行和网络维护</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完成宽带运行和网络维护</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项目实施阶段性完成情况</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上半年下半年分两次支付</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对县城经济发展</w:t>
            </w:r>
            <w:r>
              <w:rPr>
                <w:rFonts w:hint="eastAsia" w:ascii="宋体" w:hAnsi="宋体" w:cs="宋体"/>
                <w:i w:val="0"/>
                <w:iCs w:val="0"/>
                <w:color w:val="000000"/>
                <w:kern w:val="0"/>
                <w:sz w:val="18"/>
                <w:szCs w:val="18"/>
                <w:u w:val="none"/>
                <w:lang w:val="en-US" w:eastAsia="zh-CN" w:bidi="ar"/>
              </w:rPr>
              <w:t>起</w:t>
            </w:r>
            <w:r>
              <w:rPr>
                <w:rFonts w:hint="eastAsia" w:ascii="宋体" w:hAnsi="宋体" w:eastAsia="宋体" w:cs="宋体"/>
                <w:i w:val="0"/>
                <w:iCs w:val="0"/>
                <w:color w:val="000000"/>
                <w:kern w:val="0"/>
                <w:sz w:val="18"/>
                <w:szCs w:val="18"/>
                <w:u w:val="none"/>
                <w:lang w:val="en-US" w:eastAsia="zh-CN" w:bidi="ar"/>
              </w:rPr>
              <w:t>着重要作用</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行政审批更加透明，办事效率更大提高</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网络的正常维护，保证工作人员正常办公</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为群众提供优质服务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网络正常，保证群众办理业务正常</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群众对服务满意</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办事群众满意度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办事群众对项目实施的满意度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企业满意度</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企业对项目实施的满意度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《大城县行政审批局光纤宽带接入合同》</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13.房屋租赁费</w:t>
      </w:r>
      <w:r>
        <w:rPr>
          <w:rFonts w:ascii="Times New Roman" w:hAnsi="Times New Roman" w:eastAsia="仿宋_GB2312" w:cs="Times New Roman"/>
          <w:sz w:val="28"/>
        </w:rPr>
        <w:t>绩效目标表</w:t>
      </w:r>
    </w:p>
    <w:tbl>
      <w:tblPr>
        <w:tblStyle w:val="10"/>
        <w:tblW w:w="147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87"/>
        <w:gridCol w:w="1678"/>
        <w:gridCol w:w="2710"/>
        <w:gridCol w:w="1304"/>
        <w:gridCol w:w="1304"/>
        <w:gridCol w:w="1914"/>
        <w:gridCol w:w="2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[13102522P00973010001N]房屋租赁费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200</w:t>
            </w:r>
            <w:r>
              <w:rPr>
                <w:rFonts w:hint="eastAsia" w:ascii="宋体" w:hAnsi="宋体" w:eastAsia="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6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大城县政务服务中心租赁位于大城县新城区永定大街139号的永定大厦作为办公用房。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9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通过租赁房屋，确保政务服务中心正常运转，为群众提供政务服务。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12828.05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平方米</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持续发展作用力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持续发展作用力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ind w:left="420" w:leftChars="0"/>
        <w:jc w:val="left"/>
        <w:outlineLvl w:val="1"/>
        <w:rPr>
          <w:rFonts w:ascii="Times New Roman" w:hAnsi="Times New Roman" w:eastAsia="仿宋_GB2312" w:cs="Times New Roman"/>
          <w:sz w:val="28"/>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hint="default" w:ascii="Times New Roman" w:hAnsi="Times New Roman" w:eastAsia="仿宋_GB2312" w:cs="Times New Roman"/>
          <w:sz w:val="28"/>
          <w:lang w:val="en-US" w:eastAsia="zh-CN"/>
        </w:rPr>
        <w:t>建档立卡脱贫户生产生活补助金</w:t>
      </w:r>
      <w:r>
        <w:rPr>
          <w:rFonts w:ascii="Times New Roman" w:hAnsi="Times New Roman" w:eastAsia="仿宋_GB2312" w:cs="Times New Roman"/>
          <w:sz w:val="28"/>
        </w:rPr>
        <w:t>绩效目标表</w:t>
      </w:r>
    </w:p>
    <w:tbl>
      <w:tblPr>
        <w:tblStyle w:val="10"/>
        <w:tblW w:w="1473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4"/>
        <w:gridCol w:w="1800"/>
        <w:gridCol w:w="2144"/>
        <w:gridCol w:w="3006"/>
        <w:gridCol w:w="1699"/>
        <w:gridCol w:w="846"/>
        <w:gridCol w:w="1580"/>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[13102522P00972510001U]建档立卡脱贫户生产生活补助金</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w:t>
            </w:r>
            <w:r>
              <w:rPr>
                <w:rFonts w:hint="eastAsia" w:ascii="宋体" w:hAnsi="宋体" w:cs="宋体"/>
                <w:b/>
                <w:bCs/>
                <w:i w:val="0"/>
                <w:iCs w:val="0"/>
                <w:color w:val="000000"/>
                <w:kern w:val="0"/>
                <w:sz w:val="18"/>
                <w:szCs w:val="18"/>
                <w:u w:val="none"/>
                <w:lang w:val="en-US" w:eastAsia="zh-CN" w:bidi="ar"/>
              </w:rPr>
              <w:t>单位</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[436]大城县行政审批局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[436001]大城县行政审批局本级</w:t>
            </w:r>
          </w:p>
        </w:tc>
        <w:tc>
          <w:tcPr>
            <w:tcW w:w="2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12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按照县委组织部相关文件要求，帮扶责任人派出单位对本单位所帮扶的建档立卡贫困户进行多种形式的走访慰问。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3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为保障建档立卡贫困户慰问工作有效开展，建立长效机制，坚持节日慰问和日常慰问相结合。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建档立卡贫困户数</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完成建档立卡贫困户数</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户</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w:t>
            </w:r>
            <w:r>
              <w:rPr>
                <w:rFonts w:hint="eastAsia" w:ascii="宋体" w:hAnsi="宋体" w:cs="宋体"/>
                <w:i w:val="0"/>
                <w:iCs w:val="0"/>
                <w:color w:val="000000"/>
                <w:kern w:val="0"/>
                <w:sz w:val="18"/>
                <w:szCs w:val="18"/>
                <w:u w:val="none"/>
                <w:lang w:val="en-US" w:eastAsia="zh-CN" w:bidi="ar"/>
              </w:rPr>
              <w:t>年</w:t>
            </w:r>
            <w:r>
              <w:rPr>
                <w:rFonts w:hint="eastAsia" w:ascii="宋体" w:hAnsi="宋体" w:eastAsia="宋体" w:cs="宋体"/>
                <w:i w:val="0"/>
                <w:iCs w:val="0"/>
                <w:color w:val="000000"/>
                <w:kern w:val="0"/>
                <w:sz w:val="18"/>
                <w:szCs w:val="18"/>
                <w:u w:val="none"/>
                <w:lang w:val="en-US" w:eastAsia="zh-CN" w:bidi="ar"/>
              </w:rPr>
              <w:t>年底完成</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0.6</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开展“暖心工程”</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激发贫困户脱贫致富奔小康的动力</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w:t>
            </w:r>
            <w:r>
              <w:rPr>
                <w:rFonts w:hint="eastAsia" w:ascii="宋体" w:hAnsi="宋体" w:cs="宋体"/>
                <w:i w:val="0"/>
                <w:iCs w:val="0"/>
                <w:color w:val="000000"/>
                <w:kern w:val="0"/>
                <w:sz w:val="18"/>
                <w:szCs w:val="18"/>
                <w:u w:val="none"/>
                <w:lang w:val="en-US" w:eastAsia="zh-CN" w:bidi="ar"/>
              </w:rPr>
              <w:t>建档</w:t>
            </w:r>
            <w:r>
              <w:rPr>
                <w:rFonts w:hint="eastAsia" w:ascii="宋体" w:hAnsi="宋体" w:eastAsia="宋体" w:cs="宋体"/>
                <w:i w:val="0"/>
                <w:iCs w:val="0"/>
                <w:color w:val="000000"/>
                <w:kern w:val="0"/>
                <w:sz w:val="18"/>
                <w:szCs w:val="18"/>
                <w:u w:val="none"/>
                <w:lang w:val="en-US" w:eastAsia="zh-CN" w:bidi="ar"/>
              </w:rPr>
              <w:t>立卡贫困户的效果</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对提高贫困户效果的影响</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贫困户满意度</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贫困户对派出单位的满意度</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贫困户满意度</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贫困户对帮扶责任人的满意度</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default" w:ascii="Times New Roman" w:hAnsi="Times New Roman" w:eastAsia="仿宋_GB2312" w:cs="Times New Roman"/>
          <w:sz w:val="32"/>
          <w:szCs w:val="24"/>
          <w:lang w:val="en-US"/>
        </w:rPr>
        <w:t>70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行政审批局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0" w:hRule="atLeas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hint="default" w:ascii="方正书宋_GBK" w:eastAsia="方正书宋_GBK" w:cs="Times New Roman"/>
                <w:b/>
                <w:lang w:val="en-US"/>
              </w:rPr>
            </w:pPr>
            <w:r>
              <w:rPr>
                <w:rFonts w:hint="default" w:ascii="方正书宋_GBK" w:eastAsia="方正书宋_GBK" w:cs="Times New Roman"/>
                <w:b/>
                <w:lang w:val="en-US"/>
              </w:rPr>
              <w:t>70</w:t>
            </w:r>
          </w:p>
        </w:tc>
        <w:tc>
          <w:tcPr>
            <w:tcW w:w="153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lang w:eastAsia="zh-CN"/>
              </w:rPr>
              <w:t>工程造价咨询服务</w:t>
            </w:r>
          </w:p>
        </w:tc>
        <w:tc>
          <w:tcPr>
            <w:tcW w:w="153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lang w:val="en-US" w:eastAsia="zh-CN"/>
              </w:rPr>
              <w:t>C1008</w:t>
            </w:r>
          </w:p>
        </w:tc>
        <w:tc>
          <w:tcPr>
            <w:tcW w:w="709"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eastAsia="zh-CN"/>
              </w:rPr>
              <w:t>个</w:t>
            </w:r>
          </w:p>
        </w:tc>
        <w:tc>
          <w:tcPr>
            <w:tcW w:w="907"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center"/>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center"/>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center"/>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第三方评估资金</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70</w:t>
            </w:r>
          </w:p>
        </w:tc>
        <w:tc>
          <w:tcPr>
            <w:tcW w:w="1531"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工程造价咨询服务</w:t>
            </w:r>
          </w:p>
        </w:tc>
        <w:tc>
          <w:tcPr>
            <w:tcW w:w="1531"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val="en-US" w:eastAsia="zh-CN"/>
              </w:rPr>
              <w:t>C1008</w:t>
            </w:r>
          </w:p>
        </w:tc>
        <w:tc>
          <w:tcPr>
            <w:tcW w:w="709"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个</w:t>
            </w:r>
          </w:p>
        </w:tc>
        <w:tc>
          <w:tcPr>
            <w:tcW w:w="907"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70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343.25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default" w:ascii="Times New Roman" w:hAnsi="Times New Roman" w:eastAsia="仿宋_GB2312" w:cs="Times New Roman"/>
          <w:sz w:val="32"/>
          <w:szCs w:val="32"/>
          <w:lang w:val="en-US"/>
        </w:rPr>
        <w:t>0.3</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主要为打印设备，已列入政府采购预算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大城县行政审批局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343.25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9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320.29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FlNjRmNDNjODZhYTUzMGI1MWUxMjU3OGVhMjM3ZTgifQ=="/>
  </w:docVars>
  <w:rsids>
    <w:rsidRoot w:val="00D347CC"/>
    <w:rsid w:val="0027022B"/>
    <w:rsid w:val="004A54AA"/>
    <w:rsid w:val="00B80935"/>
    <w:rsid w:val="00D347CC"/>
    <w:rsid w:val="02732F88"/>
    <w:rsid w:val="03664938"/>
    <w:rsid w:val="04457174"/>
    <w:rsid w:val="04647ADC"/>
    <w:rsid w:val="067601CC"/>
    <w:rsid w:val="06DD6E8E"/>
    <w:rsid w:val="0855360B"/>
    <w:rsid w:val="095347AC"/>
    <w:rsid w:val="0A514413"/>
    <w:rsid w:val="0AA4697E"/>
    <w:rsid w:val="0C516BA9"/>
    <w:rsid w:val="0C8D5E51"/>
    <w:rsid w:val="107D634C"/>
    <w:rsid w:val="11D12BE7"/>
    <w:rsid w:val="1244056A"/>
    <w:rsid w:val="159200E9"/>
    <w:rsid w:val="18102055"/>
    <w:rsid w:val="1A0218C4"/>
    <w:rsid w:val="1B5B2D16"/>
    <w:rsid w:val="1D1A1C12"/>
    <w:rsid w:val="1D3B4A14"/>
    <w:rsid w:val="20076283"/>
    <w:rsid w:val="216E446A"/>
    <w:rsid w:val="23321A89"/>
    <w:rsid w:val="24156D4E"/>
    <w:rsid w:val="24E76DCE"/>
    <w:rsid w:val="28461E2F"/>
    <w:rsid w:val="289567C3"/>
    <w:rsid w:val="2A264F7C"/>
    <w:rsid w:val="2CF81EEC"/>
    <w:rsid w:val="2D445A50"/>
    <w:rsid w:val="2DC2281D"/>
    <w:rsid w:val="2E197A87"/>
    <w:rsid w:val="3260395B"/>
    <w:rsid w:val="33FB15D3"/>
    <w:rsid w:val="345407C2"/>
    <w:rsid w:val="34984D0A"/>
    <w:rsid w:val="34B025C1"/>
    <w:rsid w:val="370443FE"/>
    <w:rsid w:val="37432E07"/>
    <w:rsid w:val="37D50FC4"/>
    <w:rsid w:val="3889409F"/>
    <w:rsid w:val="39AB2297"/>
    <w:rsid w:val="3AE74C6C"/>
    <w:rsid w:val="3B351E28"/>
    <w:rsid w:val="3C3054CF"/>
    <w:rsid w:val="3ED872D0"/>
    <w:rsid w:val="3F8A033F"/>
    <w:rsid w:val="41272213"/>
    <w:rsid w:val="418F3E60"/>
    <w:rsid w:val="42910128"/>
    <w:rsid w:val="45847A0B"/>
    <w:rsid w:val="46E71798"/>
    <w:rsid w:val="488E14F2"/>
    <w:rsid w:val="497B6967"/>
    <w:rsid w:val="4AAD60B6"/>
    <w:rsid w:val="4B443453"/>
    <w:rsid w:val="4C982217"/>
    <w:rsid w:val="4D707F01"/>
    <w:rsid w:val="4F750978"/>
    <w:rsid w:val="51521512"/>
    <w:rsid w:val="534E6A77"/>
    <w:rsid w:val="54663096"/>
    <w:rsid w:val="55232EFD"/>
    <w:rsid w:val="556D1D67"/>
    <w:rsid w:val="55C738B9"/>
    <w:rsid w:val="55E73D2F"/>
    <w:rsid w:val="565617FC"/>
    <w:rsid w:val="567E1A69"/>
    <w:rsid w:val="56CF3ACF"/>
    <w:rsid w:val="56FA0B55"/>
    <w:rsid w:val="59B05575"/>
    <w:rsid w:val="5E1C78E4"/>
    <w:rsid w:val="5FE219DD"/>
    <w:rsid w:val="60156B94"/>
    <w:rsid w:val="62516478"/>
    <w:rsid w:val="626D79A2"/>
    <w:rsid w:val="62BC011C"/>
    <w:rsid w:val="62D54D96"/>
    <w:rsid w:val="63090745"/>
    <w:rsid w:val="67696F95"/>
    <w:rsid w:val="67A9700A"/>
    <w:rsid w:val="684A41BC"/>
    <w:rsid w:val="687C0C91"/>
    <w:rsid w:val="695B62AA"/>
    <w:rsid w:val="6A892D47"/>
    <w:rsid w:val="6B314170"/>
    <w:rsid w:val="6BBD6880"/>
    <w:rsid w:val="6D0D4676"/>
    <w:rsid w:val="6D686D7A"/>
    <w:rsid w:val="6DA235A7"/>
    <w:rsid w:val="70735B54"/>
    <w:rsid w:val="70C90178"/>
    <w:rsid w:val="71330CB6"/>
    <w:rsid w:val="7279172F"/>
    <w:rsid w:val="73B57AA8"/>
    <w:rsid w:val="73D63376"/>
    <w:rsid w:val="75B25848"/>
    <w:rsid w:val="76A4328B"/>
    <w:rsid w:val="77000835"/>
    <w:rsid w:val="781F7E9D"/>
    <w:rsid w:val="78A2775A"/>
    <w:rsid w:val="793E4166"/>
    <w:rsid w:val="7A3A3474"/>
    <w:rsid w:val="7A411B9B"/>
    <w:rsid w:val="7C565204"/>
    <w:rsid w:val="7E876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微软雅黑" w:eastAsia="微软雅黑" w:cs="微软雅黑"/>
      <w:sz w:val="32"/>
      <w:szCs w:val="32"/>
      <w:lang w:val="zh-CN" w:eastAsia="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paragraph" w:styleId="9">
    <w:name w:val="Normal (Web)"/>
    <w:basedOn w:val="1"/>
    <w:qFormat/>
    <w:uiPriority w:val="0"/>
    <w:pPr>
      <w:widowControl/>
      <w:autoSpaceDE/>
      <w:autoSpaceDN/>
      <w:spacing w:before="100" w:beforeAutospacing="1" w:after="100" w:afterAutospacing="1"/>
    </w:pPr>
    <w:rPr>
      <w:rFonts w:ascii="宋体" w:eastAsia="宋体" w:cs="宋体"/>
      <w:sz w:val="24"/>
      <w:szCs w:val="24"/>
      <w:lang w:val="en-US" w:bidi="ar-SA"/>
    </w:r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12825</Words>
  <Characters>13960</Characters>
  <Lines>23</Lines>
  <Paragraphs>6</Paragraphs>
  <TotalTime>11</TotalTime>
  <ScaleCrop>false</ScaleCrop>
  <LinksUpToDate>false</LinksUpToDate>
  <CharactersWithSpaces>13983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2024-05-18T08:46:12Z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E8F324BF07EC42B0B2159CBB4BE17433</vt:lpwstr>
  </property>
</Properties>
</file>