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大城县旺村镇人民政府本级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大城县旺村镇人民政府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大城县旺村镇人民政府（本级）</w:t>
            </w:r>
          </w:p>
        </w:tc>
        <w:tc>
          <w:tcPr>
            <w:tcW w:w="1134"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行政单位</w:t>
            </w:r>
          </w:p>
        </w:tc>
        <w:tc>
          <w:tcPr>
            <w:tcW w:w="1276"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正科级</w:t>
            </w:r>
          </w:p>
        </w:tc>
        <w:tc>
          <w:tcPr>
            <w:tcW w:w="2902"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2032.85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154.66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0.32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1403.57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1275.98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127.59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784.28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城乡社区支出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509.22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55.85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lang w:val="en-US" w:eastAsia="zh-CN"/>
        </w:rPr>
        <w:t>565.08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革命老区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127.59</w:t>
      </w:r>
      <w:r>
        <w:rPr>
          <w:rFonts w:ascii="Times New Roman" w:hAnsi="Times New Roman" w:eastAsia="仿宋_GB2312" w:cs="Times New Roman"/>
          <w:sz w:val="32"/>
          <w:szCs w:val="32"/>
        </w:rPr>
        <w:t>万元，主要用于办公区的日常维修、办公用房水电费、办公用房取暖费等日常运行支出。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val="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2022年，是开启全面建设社会主义现代化国家新征程的重要一年。旺村镇将全面贯彻党的十九大和十九届二中、三中、四中全会精神，牢固树立“四个意识”，坚定“四个自信”，坚决</w:t>
      </w:r>
      <w:r>
        <w:rPr>
          <w:rFonts w:hint="eastAsia" w:ascii="仿宋_GB2312" w:hAnsi="仿宋" w:eastAsia="仿宋_GB2312" w:cs="仿宋"/>
          <w:sz w:val="32"/>
          <w:szCs w:val="32"/>
          <w:lang w:val="en-US" w:eastAsia="zh-CN"/>
        </w:rPr>
        <w:t>做到</w:t>
      </w:r>
      <w:bookmarkStart w:id="3" w:name="_GoBack"/>
      <w:bookmarkEnd w:id="3"/>
      <w:r>
        <w:rPr>
          <w:rFonts w:hint="eastAsia" w:ascii="仿宋_GB2312" w:hAnsi="仿宋" w:eastAsia="仿宋_GB2312" w:cs="仿宋"/>
          <w:sz w:val="32"/>
          <w:szCs w:val="32"/>
        </w:rPr>
        <w:t>“两个维护”，深入贯彻落实中央和省、市、县各项决策部署，进一步坚定信心、振奋精神，苦干实干、奋勇争先，</w:t>
      </w:r>
      <w:r>
        <w:rPr>
          <w:rFonts w:hint="eastAsia" w:ascii="仿宋_GB2312" w:hAnsi="仿宋" w:eastAsia="仿宋_GB2312" w:cs="仿宋"/>
          <w:sz w:val="32"/>
          <w:szCs w:val="32"/>
          <w:lang w:val="en-US"/>
        </w:rPr>
        <w:t>牢牢把握建设“经济强县、大美大城”目标任务，统筹推进经济发展、生态环境整治、乡村振兴等重点工作建设，凝心聚力，开拓创新，努力进取，促进全镇经济社会发展呈良好态势，打造和谐、绿色、宜居的美丽乡村，实现全镇人民安居乐业。</w:t>
      </w:r>
    </w:p>
    <w:p>
      <w:pPr>
        <w:widowControl w:val="0"/>
        <w:wordWrap/>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1</w:t>
      </w:r>
      <w:r>
        <w:rPr>
          <w:rFonts w:hint="eastAsia" w:ascii="楷体_GB2312" w:eastAsia="楷体_GB2312"/>
          <w:b/>
          <w:spacing w:val="-12"/>
        </w:rPr>
        <w:t>）</w:t>
      </w:r>
      <w:r>
        <w:rPr>
          <w:rFonts w:hint="eastAsia" w:ascii="楷体_GB2312" w:hAnsi="仿宋" w:eastAsia="楷体_GB2312" w:cs="仿宋"/>
          <w:b/>
          <w:bCs/>
        </w:rPr>
        <w:t>通过开展安全监察工作，发现安全隐患，减少事故发生。</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通过开展本项目主要解决镇区内企业存在的安全隐患及食品药品等安全问题，确保有效降低安全生产事故及日常食品药品安全事故发生率，创造一个安全的生产生活环境。</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安监办通过巡查及时处理镇区存在的安全生产隐患，年度巡查次数不少</w:t>
      </w:r>
      <w:r>
        <w:rPr>
          <w:rFonts w:hint="eastAsia" w:ascii="仿宋" w:hAnsi="仿宋" w:eastAsia="仿宋" w:cs="仿宋"/>
          <w:color w:val="000000"/>
          <w:szCs w:val="21"/>
        </w:rPr>
        <w:t>48</w:t>
      </w:r>
      <w:r>
        <w:rPr>
          <w:rFonts w:hint="eastAsia" w:eastAsia="仿宋_GB2312"/>
          <w:color w:val="000000"/>
          <w:szCs w:val="21"/>
        </w:rPr>
        <w:t>次，实现镇区内企业安全生产意识、安全生产验收达标率、安全隐患整改率的提高</w:t>
      </w:r>
      <w:r>
        <w:rPr>
          <w:rFonts w:hint="eastAsia" w:eastAsia="仿宋_GB2312"/>
          <w:color w:val="000000"/>
          <w:szCs w:val="21"/>
          <w:lang w:eastAsia="zh-CN"/>
        </w:rPr>
        <w:t>，</w:t>
      </w:r>
      <w:r>
        <w:rPr>
          <w:rFonts w:hint="eastAsia" w:eastAsia="仿宋_GB2312"/>
          <w:color w:val="000000"/>
          <w:szCs w:val="21"/>
        </w:rPr>
        <w:t>达到主管部门</w:t>
      </w:r>
      <w:r>
        <w:rPr>
          <w:rFonts w:hint="eastAsia" w:eastAsia="仿宋_GB2312"/>
          <w:color w:val="000000"/>
          <w:szCs w:val="21"/>
          <w:lang w:eastAsia="zh-CN"/>
        </w:rPr>
        <w:t>的</w:t>
      </w:r>
      <w:r>
        <w:rPr>
          <w:rFonts w:hint="eastAsia" w:eastAsia="仿宋_GB2312"/>
          <w:color w:val="000000"/>
          <w:szCs w:val="21"/>
        </w:rPr>
        <w:t>整体要求，项目经费控制在</w:t>
      </w:r>
      <w:r>
        <w:rPr>
          <w:rFonts w:hint="eastAsia" w:ascii="仿宋" w:hAnsi="仿宋" w:eastAsia="仿宋" w:cs="仿宋"/>
          <w:color w:val="000000"/>
          <w:szCs w:val="21"/>
        </w:rPr>
        <w:t>10</w:t>
      </w:r>
      <w:r>
        <w:rPr>
          <w:rFonts w:hint="eastAsia" w:eastAsia="仿宋_GB2312"/>
          <w:color w:val="000000"/>
          <w:szCs w:val="21"/>
        </w:rPr>
        <w:t>万元，建立安全监管长效工作机制，创造一个安全生产生活环境。</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2</w:t>
      </w:r>
      <w:r>
        <w:rPr>
          <w:rFonts w:hint="eastAsia" w:ascii="楷体_GB2312" w:eastAsia="楷体_GB2312"/>
          <w:b/>
          <w:spacing w:val="-12"/>
        </w:rPr>
        <w:t>）</w:t>
      </w:r>
      <w:r>
        <w:rPr>
          <w:rFonts w:hint="eastAsia" w:ascii="楷体_GB2312" w:hAnsi="仿宋" w:eastAsia="楷体_GB2312" w:cs="仿宋"/>
          <w:b/>
          <w:bCs/>
          <w:lang w:val="en-US"/>
        </w:rPr>
        <w:t>通过开展农村环境治理工作，提升农村居民生活质量</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开展本项目主要解决辖区内</w:t>
      </w:r>
      <w:r>
        <w:rPr>
          <w:rFonts w:hint="eastAsia" w:ascii="仿宋" w:hAnsi="仿宋" w:eastAsia="仿宋" w:cs="仿宋"/>
          <w:color w:val="000000"/>
          <w:szCs w:val="21"/>
        </w:rPr>
        <w:t>45</w:t>
      </w:r>
      <w:r>
        <w:rPr>
          <w:rFonts w:hint="eastAsia" w:eastAsia="仿宋_GB2312"/>
          <w:color w:val="000000"/>
          <w:szCs w:val="21"/>
        </w:rPr>
        <w:t>个村街垃圾露天堆放问题，及时清理，宣传环境治理政策，确保镇区内环境整洁、卫生，创造良好的人居环境</w:t>
      </w:r>
      <w:r>
        <w:rPr>
          <w:rFonts w:hint="eastAsia" w:eastAsia="仿宋_GB2312"/>
          <w:color w:val="000000"/>
          <w:szCs w:val="21"/>
          <w:lang w:eastAsia="zh-CN"/>
        </w:rPr>
        <w:t>，</w:t>
      </w:r>
      <w:r>
        <w:rPr>
          <w:rFonts w:hint="eastAsia" w:eastAsia="仿宋_GB2312"/>
          <w:color w:val="000000"/>
          <w:szCs w:val="21"/>
        </w:rPr>
        <w:t>提高群众及企业环境保护意识，创造良好的人居环境。</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绩效指标：</w:t>
      </w:r>
      <w:r>
        <w:rPr>
          <w:rFonts w:hint="eastAsia" w:eastAsia="仿宋_GB2312"/>
          <w:color w:val="000000"/>
          <w:szCs w:val="21"/>
        </w:rPr>
        <w:t>通过项目的开展排查垃圾处理点数量不少于</w:t>
      </w:r>
      <w:r>
        <w:rPr>
          <w:rFonts w:hint="eastAsia" w:ascii="仿宋" w:hAnsi="仿宋" w:eastAsia="仿宋" w:cs="仿宋"/>
          <w:color w:val="000000"/>
          <w:szCs w:val="21"/>
        </w:rPr>
        <w:t>45</w:t>
      </w:r>
      <w:r>
        <w:rPr>
          <w:rFonts w:hint="eastAsia" w:eastAsia="仿宋_GB2312"/>
          <w:color w:val="000000"/>
          <w:szCs w:val="21"/>
        </w:rPr>
        <w:t>个，使我镇垃圾及时有效处理，环境质量明显改善，建立农村环境整治长效管理机制，实现群众得到满意效果目标，提升群众的生活质量。</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3</w:t>
      </w:r>
      <w:r>
        <w:rPr>
          <w:rFonts w:hint="eastAsia" w:ascii="楷体_GB2312" w:eastAsia="楷体_GB2312"/>
          <w:b/>
          <w:spacing w:val="-12"/>
        </w:rPr>
        <w:t>）</w:t>
      </w:r>
      <w:r>
        <w:rPr>
          <w:rFonts w:hint="eastAsia" w:ascii="楷体_GB2312" w:hAnsi="仿宋" w:eastAsia="楷体_GB2312" w:cs="仿宋"/>
          <w:b/>
          <w:bCs/>
          <w:lang w:val="en-US"/>
        </w:rPr>
        <w:t>通过开展妇联工作，加强妇联基层组织建设</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妇联基层组织建设经费可以解决活动场地、活动经费</w:t>
      </w:r>
      <w:r>
        <w:rPr>
          <w:rFonts w:hint="eastAsia" w:eastAsia="仿宋_GB2312"/>
          <w:color w:val="000000"/>
          <w:szCs w:val="21"/>
          <w:lang w:eastAsia="zh-CN"/>
        </w:rPr>
        <w:t>的</w:t>
      </w:r>
      <w:r>
        <w:rPr>
          <w:rFonts w:hint="eastAsia" w:eastAsia="仿宋_GB2312"/>
          <w:color w:val="000000"/>
          <w:szCs w:val="21"/>
        </w:rPr>
        <w:t>缺乏，农村社区妇女联合会存在创建不完善，妇女后备干部队伍薄弱等问题，从而全面加强基层妇女组织建设，增强妇女组织生机和活力。</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通过按期开展相关妇联培训、“春蕾计划”等工作，提升妇女干部谋划工作、服务发展的能力。项目经费控制在</w:t>
      </w:r>
      <w:r>
        <w:rPr>
          <w:rFonts w:hint="eastAsia" w:ascii="仿宋" w:hAnsi="仿宋" w:eastAsia="仿宋" w:cs="仿宋"/>
          <w:color w:val="000000"/>
          <w:szCs w:val="21"/>
        </w:rPr>
        <w:t>1</w:t>
      </w:r>
      <w:r>
        <w:rPr>
          <w:rFonts w:hint="eastAsia" w:eastAsia="仿宋_GB2312"/>
          <w:color w:val="000000"/>
          <w:szCs w:val="21"/>
        </w:rPr>
        <w:t>万元。进一步加强基层妇女组织建设，充分地发挥基层妇女组织的作用，推动妇女工作和妇女事业更好发展。</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4</w:t>
      </w:r>
      <w:r>
        <w:rPr>
          <w:rFonts w:hint="eastAsia" w:ascii="楷体_GB2312" w:eastAsia="楷体_GB2312"/>
          <w:b/>
          <w:spacing w:val="-12"/>
        </w:rPr>
        <w:t>）</w:t>
      </w:r>
      <w:r>
        <w:rPr>
          <w:rFonts w:hint="eastAsia" w:ascii="楷体_GB2312" w:hAnsi="仿宋" w:eastAsia="楷体_GB2312" w:cs="仿宋"/>
          <w:b/>
          <w:bCs/>
          <w:lang w:val="en-US"/>
        </w:rPr>
        <w:t>通过开展环保工作，实现环保形势稳步提升</w:t>
      </w:r>
      <w:r>
        <w:rPr>
          <w:rFonts w:hint="eastAsia" w:ascii="楷体_GB2312" w:hAnsi="仿宋" w:eastAsia="楷体_GB2312" w:cs="仿宋"/>
          <w:b/>
          <w:bCs/>
        </w:rPr>
        <w:t>。</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通过开展环保工作，组织工作专班，深入到各企业进行排查摸底，督促企业落实主体责任，加强大气、水体、机动车污染防治</w:t>
      </w:r>
      <w:r>
        <w:rPr>
          <w:rFonts w:hint="eastAsia" w:eastAsia="仿宋_GB2312"/>
          <w:color w:val="000000"/>
          <w:szCs w:val="21"/>
          <w:lang w:eastAsia="zh-CN"/>
        </w:rPr>
        <w:t>；</w:t>
      </w:r>
      <w:r>
        <w:rPr>
          <w:rFonts w:hint="eastAsia" w:eastAsia="仿宋_GB2312"/>
          <w:color w:val="000000"/>
          <w:szCs w:val="21"/>
        </w:rPr>
        <w:t>加强企业经营单位固体废弃物、重金属等重点污染治理的防治工作，增强全镇企业及群众的环保意识。</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通过检查企业生产，最大限度地发现、纠正、督促企业消除各类违法排污，预防和减少环境污染，实现全年优良天气数量增加，遏制少数散乱污经营户，项目经费控制在</w:t>
      </w:r>
      <w:r>
        <w:rPr>
          <w:rFonts w:hint="eastAsia" w:ascii="仿宋" w:hAnsi="仿宋" w:eastAsia="仿宋" w:cs="仿宋"/>
          <w:color w:val="000000"/>
          <w:szCs w:val="21"/>
        </w:rPr>
        <w:t>10</w:t>
      </w:r>
      <w:r>
        <w:rPr>
          <w:rFonts w:hint="eastAsia" w:eastAsia="仿宋_GB2312"/>
          <w:color w:val="000000"/>
          <w:szCs w:val="21"/>
        </w:rPr>
        <w:t>万元。促进乡镇环保形势持续稳定好转，使全镇企业经营安全、规范有序。</w:t>
      </w:r>
    </w:p>
    <w:p>
      <w:pPr>
        <w:pStyle w:val="2"/>
        <w:spacing w:before="15" w:line="235" w:lineRule="auto"/>
        <w:ind w:left="131" w:right="270" w:firstLine="482" w:firstLineChars="150"/>
        <w:jc w:val="both"/>
        <w:rPr>
          <w:rFonts w:ascii="楷体_GB2312" w:hAnsi="仿宋" w:eastAsia="楷体_GB2312" w:cs="仿宋"/>
          <w:b/>
          <w:bCs/>
          <w:lang w:val="en-US"/>
        </w:rPr>
      </w:pPr>
      <w:r>
        <w:rPr>
          <w:rFonts w:hint="eastAsia" w:ascii="楷体_GB2312" w:eastAsia="楷体_GB2312"/>
          <w:b/>
        </w:rPr>
        <w:t>（</w:t>
      </w:r>
      <w:r>
        <w:rPr>
          <w:rFonts w:hint="eastAsia" w:ascii="楷体_GB2312" w:eastAsia="楷体_GB2312"/>
          <w:b/>
          <w:lang w:val="en-US" w:eastAsia="zh-CN"/>
        </w:rPr>
        <w:t>5</w:t>
      </w:r>
      <w:r>
        <w:rPr>
          <w:rFonts w:hint="eastAsia" w:ascii="楷体_GB2312" w:eastAsia="楷体_GB2312"/>
          <w:b/>
          <w:spacing w:val="-12"/>
        </w:rPr>
        <w:t>）</w:t>
      </w:r>
      <w:r>
        <w:rPr>
          <w:rFonts w:hint="eastAsia" w:ascii="楷体_GB2312" w:hAnsi="仿宋" w:eastAsia="楷体_GB2312" w:cs="仿宋"/>
          <w:b/>
          <w:bCs/>
          <w:lang w:val="en-US"/>
        </w:rPr>
        <w:t>通过开展基层党建带团建工作，带动团组织建设。</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已把党建团建工作作为重要内容列入党建议事日程，进行专门部署和安排，并研究建立了党团共建制度</w:t>
      </w:r>
      <w:r>
        <w:rPr>
          <w:rFonts w:hint="eastAsia" w:eastAsia="仿宋_GB2312"/>
          <w:color w:val="000000"/>
          <w:szCs w:val="21"/>
          <w:lang w:eastAsia="zh-CN"/>
        </w:rPr>
        <w:t>，</w:t>
      </w:r>
      <w:r>
        <w:rPr>
          <w:rFonts w:hint="eastAsia" w:eastAsia="仿宋_GB2312"/>
          <w:color w:val="000000"/>
          <w:szCs w:val="21"/>
        </w:rPr>
        <w:t>定期研究工作对策；已对基层团组织负责人进行了团务知识的经常性培训，基层团干部队伍整体素质得到提高。</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通过开展多种形式的党性教育活动和业务培训活动，不少于</w:t>
      </w:r>
      <w:r>
        <w:rPr>
          <w:rFonts w:hint="eastAsia" w:ascii="仿宋" w:hAnsi="仿宋" w:eastAsia="仿宋" w:cs="仿宋"/>
          <w:color w:val="000000"/>
          <w:szCs w:val="21"/>
        </w:rPr>
        <w:t>6</w:t>
      </w:r>
      <w:r>
        <w:rPr>
          <w:rFonts w:hint="eastAsia" w:eastAsia="仿宋_GB2312"/>
          <w:color w:val="000000"/>
          <w:szCs w:val="21"/>
        </w:rPr>
        <w:t>次，及时按照绩效考核标准对党建团建工作进行考核，争取</w:t>
      </w:r>
      <w:r>
        <w:rPr>
          <w:rFonts w:hint="eastAsia" w:ascii="仿宋" w:hAnsi="仿宋" w:eastAsia="仿宋" w:cs="仿宋"/>
          <w:color w:val="000000"/>
          <w:szCs w:val="21"/>
        </w:rPr>
        <w:t>100%</w:t>
      </w:r>
      <w:r>
        <w:rPr>
          <w:rFonts w:hint="eastAsia" w:eastAsia="仿宋_GB2312"/>
          <w:color w:val="000000"/>
          <w:szCs w:val="21"/>
        </w:rPr>
        <w:t>合格率，实现党建团建工作水平提高和富有活力的基层组织的广泛建立覆盖。项目经费控制在</w:t>
      </w:r>
      <w:r>
        <w:rPr>
          <w:rFonts w:hint="eastAsia" w:ascii="仿宋" w:hAnsi="仿宋" w:eastAsia="仿宋" w:cs="仿宋"/>
          <w:color w:val="000000"/>
          <w:szCs w:val="21"/>
        </w:rPr>
        <w:t>2</w:t>
      </w:r>
      <w:r>
        <w:rPr>
          <w:rFonts w:hint="eastAsia" w:eastAsia="仿宋_GB2312"/>
          <w:color w:val="000000"/>
          <w:szCs w:val="21"/>
        </w:rPr>
        <w:t>万元。</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6</w:t>
      </w:r>
      <w:r>
        <w:rPr>
          <w:rFonts w:hint="eastAsia" w:ascii="楷体_GB2312" w:eastAsia="楷体_GB2312"/>
          <w:b/>
          <w:spacing w:val="-12"/>
        </w:rPr>
        <w:t>）</w:t>
      </w:r>
      <w:r>
        <w:rPr>
          <w:rFonts w:hint="eastAsia" w:ascii="楷体_GB2312" w:hAnsi="仿宋" w:eastAsia="楷体_GB2312" w:cs="仿宋"/>
          <w:b/>
          <w:bCs/>
          <w:lang w:val="en-US"/>
        </w:rPr>
        <w:t>通过开展脱贫户帮扶工作，保障脱贫户生活质量</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主要帮扶脱贫户在日常生活、子女义务教育、医疗保障和住房方面的问题，防止出现返贫风险。</w:t>
      </w:r>
    </w:p>
    <w:p>
      <w:pPr>
        <w:pStyle w:val="2"/>
        <w:spacing w:before="15" w:line="235" w:lineRule="auto"/>
        <w:ind w:left="131" w:right="270" w:firstLine="482" w:firstLineChars="150"/>
        <w:jc w:val="both"/>
        <w:rPr>
          <w:rFonts w:ascii="仿宋_GB2312" w:eastAsia="仿宋_GB2312"/>
          <w:b/>
        </w:rPr>
      </w:pPr>
      <w:r>
        <w:rPr>
          <w:rFonts w:hint="eastAsia" w:ascii="楷体_GB2312" w:eastAsia="楷体_GB2312"/>
          <w:b/>
        </w:rPr>
        <w:t>绩效指标：</w:t>
      </w:r>
      <w:r>
        <w:rPr>
          <w:rFonts w:hint="eastAsia" w:eastAsia="仿宋_GB2312"/>
          <w:color w:val="000000"/>
          <w:szCs w:val="21"/>
        </w:rPr>
        <w:t>通过对镇区内</w:t>
      </w:r>
      <w:r>
        <w:rPr>
          <w:rFonts w:hint="eastAsia" w:ascii="仿宋" w:hAnsi="仿宋" w:eastAsia="仿宋" w:cs="仿宋"/>
          <w:color w:val="000000"/>
          <w:szCs w:val="21"/>
        </w:rPr>
        <w:t>16</w:t>
      </w:r>
      <w:r>
        <w:rPr>
          <w:rFonts w:hint="eastAsia" w:eastAsia="仿宋_GB2312"/>
          <w:color w:val="000000"/>
          <w:szCs w:val="21"/>
        </w:rPr>
        <w:t>户建档立卡脱贫户按照</w:t>
      </w:r>
      <w:r>
        <w:rPr>
          <w:rFonts w:hint="eastAsia" w:ascii="仿宋" w:hAnsi="仿宋" w:eastAsia="仿宋" w:cs="仿宋"/>
          <w:color w:val="000000"/>
          <w:szCs w:val="21"/>
        </w:rPr>
        <w:t>2000</w:t>
      </w:r>
      <w:r>
        <w:rPr>
          <w:rFonts w:hint="eastAsia" w:eastAsia="仿宋_GB2312"/>
          <w:color w:val="000000"/>
          <w:szCs w:val="21"/>
        </w:rPr>
        <w:t>元标准及时有效发放帮扶资金，有效保障脱贫户日常生活，实现脱贫户家庭收入有效增长，保障子女义务教育、基本医疗和住房目标，防止出现返贫风险。</w:t>
      </w:r>
    </w:p>
    <w:p>
      <w:pPr>
        <w:pStyle w:val="2"/>
        <w:spacing w:before="15" w:line="235" w:lineRule="auto"/>
        <w:ind w:left="131" w:right="270" w:firstLine="482" w:firstLineChars="150"/>
        <w:jc w:val="both"/>
        <w:rPr>
          <w:rFonts w:ascii="楷体_GB2312" w:hAnsi="仿宋" w:eastAsia="楷体_GB2312" w:cs="仿宋"/>
          <w:b/>
          <w:bCs/>
          <w:lang w:val="en-US"/>
        </w:rPr>
      </w:pPr>
      <w:r>
        <w:rPr>
          <w:rFonts w:hint="eastAsia" w:ascii="楷体_GB2312" w:eastAsia="楷体_GB2312"/>
          <w:b/>
        </w:rPr>
        <w:t>（</w:t>
      </w:r>
      <w:r>
        <w:rPr>
          <w:rFonts w:hint="eastAsia" w:ascii="楷体_GB2312" w:eastAsia="楷体_GB2312"/>
          <w:b/>
          <w:lang w:val="en-US" w:eastAsia="zh-CN"/>
        </w:rPr>
        <w:t>7</w:t>
      </w:r>
      <w:r>
        <w:rPr>
          <w:rFonts w:hint="eastAsia" w:ascii="楷体_GB2312" w:eastAsia="楷体_GB2312"/>
          <w:b/>
          <w:spacing w:val="-12"/>
        </w:rPr>
        <w:t>）</w:t>
      </w:r>
      <w:r>
        <w:rPr>
          <w:rFonts w:hint="eastAsia" w:ascii="楷体_GB2312" w:hAnsi="仿宋" w:eastAsia="楷体_GB2312" w:cs="仿宋"/>
          <w:b/>
          <w:bCs/>
          <w:lang w:val="en-US"/>
        </w:rPr>
        <w:t>通过开展人大代表联络工作，助推镇区社会事业经济发展。</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通过进一步完善人大代表联络站</w:t>
      </w:r>
      <w:r>
        <w:rPr>
          <w:rFonts w:hint="eastAsia" w:eastAsia="仿宋_GB2312"/>
          <w:color w:val="000000"/>
          <w:szCs w:val="21"/>
          <w:lang w:eastAsia="zh-CN"/>
        </w:rPr>
        <w:t>制度</w:t>
      </w:r>
      <w:r>
        <w:rPr>
          <w:rFonts w:hint="eastAsia" w:eastAsia="仿宋_GB2312"/>
          <w:color w:val="000000"/>
          <w:szCs w:val="21"/>
        </w:rPr>
        <w:t>，保障代表在闭会期间开展活动有阵地</w:t>
      </w:r>
      <w:r>
        <w:rPr>
          <w:rFonts w:hint="eastAsia" w:eastAsia="仿宋_GB2312"/>
          <w:color w:val="000000"/>
          <w:szCs w:val="21"/>
          <w:lang w:eastAsia="zh-CN"/>
        </w:rPr>
        <w:t>、</w:t>
      </w:r>
      <w:r>
        <w:rPr>
          <w:rFonts w:hint="eastAsia" w:eastAsia="仿宋_GB2312"/>
          <w:color w:val="000000"/>
          <w:szCs w:val="21"/>
        </w:rPr>
        <w:t>联系群众有窗口</w:t>
      </w:r>
      <w:r>
        <w:rPr>
          <w:rFonts w:hint="eastAsia" w:eastAsia="仿宋_GB2312"/>
          <w:color w:val="000000"/>
          <w:szCs w:val="21"/>
          <w:lang w:eastAsia="zh-CN"/>
        </w:rPr>
        <w:t>、</w:t>
      </w:r>
      <w:r>
        <w:rPr>
          <w:rFonts w:hint="eastAsia" w:eastAsia="仿宋_GB2312"/>
          <w:color w:val="000000"/>
          <w:szCs w:val="21"/>
        </w:rPr>
        <w:t>执行职务有平台，为促进代表履职活动规范化、制度化、常态化，提供有力保障。</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保障镇区内</w:t>
      </w:r>
      <w:r>
        <w:rPr>
          <w:rFonts w:hint="eastAsia" w:ascii="仿宋" w:hAnsi="仿宋" w:eastAsia="仿宋" w:cs="仿宋"/>
          <w:color w:val="000000"/>
          <w:szCs w:val="21"/>
        </w:rPr>
        <w:t>3</w:t>
      </w:r>
      <w:r>
        <w:rPr>
          <w:rFonts w:hint="eastAsia" w:eastAsia="仿宋_GB2312"/>
          <w:color w:val="000000"/>
          <w:szCs w:val="21"/>
        </w:rPr>
        <w:t>个人大代表联络站的硬件建设做到有牌子、场所、有电脑、有桌椅、有专用橱柜、有资料；软件设施做到有组织、有制度、有计划、有台账、有代表信息、有履职档案。制定完善《人大代表联络站工作职责》、《代表活动制度》等有关制度，保证代表开展活动的常态化、制度化和规范化。</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8</w:t>
      </w:r>
      <w:r>
        <w:rPr>
          <w:rFonts w:hint="eastAsia" w:ascii="楷体_GB2312" w:eastAsia="楷体_GB2312"/>
          <w:b/>
          <w:spacing w:val="-12"/>
        </w:rPr>
        <w:t>）</w:t>
      </w:r>
      <w:r>
        <w:rPr>
          <w:rFonts w:hint="eastAsia" w:ascii="楷体_GB2312" w:hAnsi="仿宋" w:eastAsia="楷体_GB2312" w:cs="仿宋"/>
          <w:b/>
          <w:bCs/>
          <w:lang w:val="en-US"/>
        </w:rPr>
        <w:t>通过开展示范村建设，改善农村面貌</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大力发展村集体经济，最大限度的改善农村生产生活条件，为农业生产增强发展的后劲。</w:t>
      </w:r>
    </w:p>
    <w:p>
      <w:pPr>
        <w:pStyle w:val="2"/>
        <w:spacing w:before="15" w:line="235" w:lineRule="auto"/>
        <w:ind w:left="131" w:right="270" w:firstLine="482" w:firstLineChars="150"/>
        <w:jc w:val="both"/>
        <w:rPr>
          <w:rFonts w:ascii="仿宋_GB2312" w:hAnsi="Calibri" w:eastAsia="仿宋_GB2312" w:cs="仿宋_GB2312"/>
          <w:color w:val="000000"/>
          <w:lang w:val="en-US"/>
        </w:rPr>
      </w:pPr>
      <w:r>
        <w:rPr>
          <w:rFonts w:hint="eastAsia" w:ascii="楷体_GB2312" w:eastAsia="楷体_GB2312"/>
          <w:b/>
        </w:rPr>
        <w:t>绩效指标：</w:t>
      </w:r>
      <w:r>
        <w:rPr>
          <w:rFonts w:hint="eastAsia" w:eastAsia="仿宋_GB2312"/>
          <w:color w:val="000000"/>
          <w:szCs w:val="21"/>
        </w:rPr>
        <w:t>通过建设</w:t>
      </w:r>
      <w:r>
        <w:rPr>
          <w:rFonts w:hint="eastAsia" w:ascii="仿宋" w:hAnsi="仿宋" w:eastAsia="仿宋" w:cs="仿宋"/>
          <w:color w:val="000000"/>
          <w:szCs w:val="21"/>
        </w:rPr>
        <w:t>1</w:t>
      </w:r>
      <w:r>
        <w:rPr>
          <w:rFonts w:hint="eastAsia" w:eastAsia="仿宋_GB2312"/>
          <w:color w:val="000000"/>
          <w:szCs w:val="21"/>
        </w:rPr>
        <w:t>个现代化养羊场，养殖</w:t>
      </w:r>
      <w:r>
        <w:rPr>
          <w:rFonts w:hint="eastAsia" w:ascii="仿宋" w:hAnsi="仿宋" w:eastAsia="仿宋" w:cs="仿宋"/>
          <w:color w:val="000000"/>
          <w:szCs w:val="21"/>
        </w:rPr>
        <w:t>500</w:t>
      </w:r>
      <w:r>
        <w:rPr>
          <w:rFonts w:hint="eastAsia" w:eastAsia="仿宋_GB2312"/>
          <w:color w:val="000000"/>
          <w:szCs w:val="21"/>
        </w:rPr>
        <w:t>头羊，成立农业合作社，雇佣本村村民进行运营、管理，提高村集体和农民收入，改善生活条件。</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9</w:t>
      </w:r>
      <w:r>
        <w:rPr>
          <w:rFonts w:hint="eastAsia" w:ascii="楷体_GB2312" w:eastAsia="楷体_GB2312"/>
          <w:b/>
          <w:spacing w:val="-12"/>
        </w:rPr>
        <w:t>）</w:t>
      </w:r>
      <w:r>
        <w:rPr>
          <w:rFonts w:hint="eastAsia" w:ascii="楷体_GB2312" w:hAnsi="仿宋" w:eastAsia="楷体_GB2312" w:cs="仿宋"/>
          <w:b/>
          <w:bCs/>
          <w:lang w:val="en-US"/>
        </w:rPr>
        <w:t>通过开展武装部武装工作，保障民兵训练和征兵工作的顺利进行。</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保障武装部武装工作的顺利开展，保障民兵训练和征兵工作的顺利进行。</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通过组织民兵训练，提升民兵素质。保障武装工作的顺利开展，按时间节点完成每年的征兵工作。项目经费控制在</w:t>
      </w:r>
      <w:r>
        <w:rPr>
          <w:rFonts w:hint="eastAsia" w:ascii="仿宋" w:hAnsi="仿宋" w:eastAsia="仿宋" w:cs="仿宋"/>
          <w:color w:val="000000"/>
          <w:szCs w:val="21"/>
        </w:rPr>
        <w:t>3</w:t>
      </w:r>
      <w:r>
        <w:rPr>
          <w:rFonts w:hint="eastAsia" w:eastAsia="仿宋_GB2312"/>
          <w:color w:val="000000"/>
          <w:szCs w:val="21"/>
        </w:rPr>
        <w:t>万元，为创造和谐稳定的社会环境做出积极贡献。</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10</w:t>
      </w:r>
      <w:r>
        <w:rPr>
          <w:rFonts w:hint="eastAsia" w:ascii="楷体_GB2312" w:eastAsia="楷体_GB2312"/>
          <w:b/>
          <w:spacing w:val="-12"/>
        </w:rPr>
        <w:t>）</w:t>
      </w:r>
      <w:r>
        <w:rPr>
          <w:rFonts w:hint="eastAsia" w:ascii="楷体_GB2312" w:hAnsi="仿宋" w:eastAsia="楷体_GB2312" w:cs="仿宋"/>
          <w:b/>
          <w:bCs/>
          <w:lang w:val="en-US"/>
        </w:rPr>
        <w:t>通过开展退役军人服务工作，切实维护退役军人合法利益。</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切实维护好退役军人合法权益，成立退役军人服务站，保证机构、人员、经费，全面做好就业、创业、扶持、走访慰问、帮扶解困、信访接待、权益保障等工作，切实把广大退役军人工作和生活保障好，激励他们为改革发展和社会稳定作出积极贡献。</w:t>
      </w:r>
    </w:p>
    <w:p>
      <w:pPr>
        <w:pStyle w:val="2"/>
        <w:spacing w:before="15" w:line="235" w:lineRule="auto"/>
        <w:ind w:left="131" w:right="270" w:firstLine="482" w:firstLineChars="150"/>
        <w:jc w:val="both"/>
        <w:rPr>
          <w:rFonts w:ascii="仿宋_GB2312" w:eastAsia="仿宋_GB2312"/>
          <w:b/>
        </w:rPr>
      </w:pPr>
      <w:r>
        <w:rPr>
          <w:rFonts w:hint="eastAsia" w:ascii="楷体_GB2312" w:eastAsia="楷体_GB2312"/>
          <w:b/>
        </w:rPr>
        <w:t>绩效指标：</w:t>
      </w:r>
      <w:r>
        <w:rPr>
          <w:rFonts w:hint="eastAsia" w:eastAsia="仿宋_GB2312"/>
          <w:color w:val="000000"/>
          <w:szCs w:val="21"/>
        </w:rPr>
        <w:t>帮扶退役军人次数不少于</w:t>
      </w:r>
      <w:r>
        <w:rPr>
          <w:rFonts w:hint="eastAsia" w:ascii="仿宋" w:hAnsi="仿宋" w:eastAsia="仿宋" w:cs="仿宋"/>
          <w:color w:val="000000"/>
          <w:szCs w:val="21"/>
        </w:rPr>
        <w:t>10</w:t>
      </w:r>
      <w:r>
        <w:rPr>
          <w:rFonts w:hint="eastAsia" w:eastAsia="仿宋_GB2312"/>
          <w:color w:val="000000"/>
          <w:szCs w:val="21"/>
        </w:rPr>
        <w:t>次，及时准确的将慰问金发放到位，争取年度重大退役军人投诉事件为</w:t>
      </w:r>
      <w:r>
        <w:rPr>
          <w:rFonts w:hint="eastAsia" w:ascii="仿宋" w:hAnsi="仿宋" w:eastAsia="仿宋" w:cs="仿宋"/>
          <w:color w:val="000000"/>
          <w:szCs w:val="21"/>
        </w:rPr>
        <w:t>0</w:t>
      </w:r>
      <w:r>
        <w:rPr>
          <w:rFonts w:hint="eastAsia" w:eastAsia="仿宋_GB2312"/>
          <w:color w:val="000000"/>
          <w:szCs w:val="21"/>
        </w:rPr>
        <w:t>，项目经费控制在</w:t>
      </w:r>
      <w:r>
        <w:rPr>
          <w:rFonts w:hint="eastAsia" w:ascii="仿宋" w:hAnsi="仿宋" w:eastAsia="仿宋" w:cs="仿宋"/>
          <w:color w:val="000000"/>
          <w:szCs w:val="21"/>
        </w:rPr>
        <w:t>3</w:t>
      </w:r>
      <w:r>
        <w:rPr>
          <w:rFonts w:hint="eastAsia" w:eastAsia="仿宋_GB2312"/>
          <w:color w:val="000000"/>
          <w:szCs w:val="21"/>
        </w:rPr>
        <w:t>万元</w:t>
      </w:r>
      <w:r>
        <w:rPr>
          <w:rFonts w:hint="eastAsia" w:eastAsia="仿宋_GB2312"/>
          <w:color w:val="000000"/>
          <w:szCs w:val="21"/>
          <w:lang w:eastAsia="zh-CN"/>
        </w:rPr>
        <w:t>。</w:t>
      </w:r>
      <w:r>
        <w:rPr>
          <w:rFonts w:hint="eastAsia" w:eastAsia="仿宋_GB2312"/>
          <w:color w:val="000000"/>
          <w:szCs w:val="21"/>
        </w:rPr>
        <w:t>做好就业创业扶持、走访慰问、帮扶解困、信访接待、权益保障等工作，切实维护好退役军人合法利益，切实把广大退役军人工作和生活保障好，激励他们为改革发展和社会稳定作出积极贡献。</w:t>
      </w:r>
    </w:p>
    <w:p>
      <w:pPr>
        <w:pStyle w:val="2"/>
        <w:spacing w:before="15" w:line="235" w:lineRule="auto"/>
        <w:ind w:left="131" w:right="270" w:firstLine="482" w:firstLineChars="150"/>
        <w:jc w:val="both"/>
        <w:rPr>
          <w:rFonts w:ascii="楷体_GB2312" w:hAnsi="仿宋" w:eastAsia="楷体_GB2312" w:cs="仿宋"/>
          <w:b/>
          <w:bCs/>
          <w:color w:val="FF0000"/>
          <w:lang w:val="en-US"/>
        </w:rPr>
      </w:pPr>
      <w:r>
        <w:rPr>
          <w:rFonts w:hint="eastAsia" w:ascii="楷体_GB2312" w:eastAsia="楷体_GB2312"/>
          <w:b/>
        </w:rPr>
        <w:t>（</w:t>
      </w:r>
      <w:r>
        <w:rPr>
          <w:rFonts w:hint="eastAsia" w:ascii="楷体_GB2312" w:eastAsia="楷体_GB2312"/>
          <w:b/>
          <w:lang w:val="en-US" w:eastAsia="zh-CN"/>
        </w:rPr>
        <w:t>11</w:t>
      </w:r>
      <w:r>
        <w:rPr>
          <w:rFonts w:hint="eastAsia" w:ascii="楷体_GB2312" w:eastAsia="楷体_GB2312"/>
          <w:b/>
          <w:spacing w:val="-12"/>
        </w:rPr>
        <w:t>）</w:t>
      </w:r>
      <w:r>
        <w:rPr>
          <w:rFonts w:hint="eastAsia" w:ascii="楷体_GB2312" w:hAnsi="仿宋" w:eastAsia="楷体_GB2312" w:cs="仿宋"/>
          <w:b/>
          <w:bCs/>
          <w:lang w:val="en-US"/>
        </w:rPr>
        <w:t>通过开展土地流转工作，提升廊泊路两侧整体环境质量。</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开展本项目主要是提升廊泊路两侧整体环境质量，打造辖区内迎宾大道绿化带，改善镇区形象。</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通过修建廊泊路两侧绿化带，实现流转土地面积不少于</w:t>
      </w:r>
      <w:r>
        <w:rPr>
          <w:rFonts w:hint="eastAsia" w:ascii="仿宋" w:hAnsi="仿宋" w:eastAsia="仿宋" w:cs="仿宋"/>
          <w:color w:val="000000"/>
          <w:szCs w:val="21"/>
        </w:rPr>
        <w:t>836.6</w:t>
      </w:r>
      <w:r>
        <w:rPr>
          <w:rFonts w:hint="eastAsia" w:eastAsia="仿宋_GB2312"/>
          <w:color w:val="000000"/>
          <w:szCs w:val="21"/>
        </w:rPr>
        <w:t>亩，将土地流转资金按期及时足额发放给路段两侧居民，提升镇区环境质量，带动经济增长，提升群众观感和幸福感。</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12</w:t>
      </w:r>
      <w:r>
        <w:rPr>
          <w:rFonts w:hint="eastAsia" w:ascii="楷体_GB2312" w:eastAsia="楷体_GB2312"/>
          <w:b/>
          <w:spacing w:val="-12"/>
        </w:rPr>
        <w:t>）</w:t>
      </w:r>
      <w:r>
        <w:rPr>
          <w:rFonts w:hint="eastAsia" w:ascii="楷体_GB2312" w:hAnsi="仿宋" w:eastAsia="楷体_GB2312" w:cs="仿宋"/>
          <w:b/>
          <w:bCs/>
          <w:lang w:val="en-US"/>
        </w:rPr>
        <w:t>通过开展土地流转工作，提升中源路两侧整体环境质量。</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开展本项目主要是提升中源路两侧整体环境质量，打造辖区内迎宾大道绿化带，改善镇区形象。</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通过修建中源路两侧绿化带，实现流转土地面积不少于</w:t>
      </w:r>
      <w:r>
        <w:rPr>
          <w:rFonts w:hint="eastAsia" w:ascii="仿宋" w:hAnsi="仿宋" w:eastAsia="仿宋" w:cs="仿宋"/>
          <w:color w:val="000000"/>
          <w:szCs w:val="21"/>
        </w:rPr>
        <w:t>110.042</w:t>
      </w:r>
      <w:r>
        <w:rPr>
          <w:rFonts w:hint="eastAsia" w:eastAsia="仿宋_GB2312"/>
          <w:color w:val="000000"/>
          <w:szCs w:val="21"/>
        </w:rPr>
        <w:t>亩，将土地流转资金按期及时足额发放给路段两侧居民，确保农民的利益和全镇的稳定，打造一个良好的营商氛围，提升群众观感和幸福感。</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13</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4842</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71.</w:t>
      </w:r>
      <w:r>
        <w:rPr>
          <w:rFonts w:hint="eastAsia" w:ascii="仿宋" w:hAnsi="仿宋" w:eastAsia="仿宋" w:cs="仿宋"/>
          <w:color w:val="000000"/>
          <w:szCs w:val="21"/>
          <w:lang w:val="en-US" w:eastAsia="zh-CN"/>
        </w:rPr>
        <w:t>8</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14</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7546.5</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199.69</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15</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14400</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218.51</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16</w:t>
      </w:r>
      <w:r>
        <w:rPr>
          <w:rFonts w:hint="eastAsia" w:ascii="楷体_GB2312" w:eastAsia="楷体_GB2312"/>
          <w:b/>
          <w:spacing w:val="-12"/>
        </w:rPr>
        <w:t>）</w:t>
      </w:r>
      <w:r>
        <w:rPr>
          <w:rFonts w:hint="eastAsia" w:ascii="楷体_GB2312" w:hAnsi="仿宋" w:eastAsia="楷体_GB2312" w:cs="仿宋"/>
          <w:b/>
          <w:bCs/>
          <w:lang w:val="en-US"/>
        </w:rPr>
        <w:t>通过开展</w:t>
      </w:r>
      <w:r>
        <w:rPr>
          <w:rFonts w:hint="eastAsia" w:ascii="楷体_GB2312" w:hAnsi="仿宋" w:eastAsia="楷体_GB2312" w:cs="仿宋"/>
          <w:b/>
          <w:bCs/>
          <w:lang w:val="en-US" w:eastAsia="zh-CN"/>
        </w:rPr>
        <w:t>排水管道</w:t>
      </w:r>
      <w:r>
        <w:rPr>
          <w:rFonts w:hint="eastAsia" w:ascii="楷体_GB2312" w:hAnsi="仿宋" w:eastAsia="楷体_GB2312" w:cs="仿宋"/>
          <w:b/>
          <w:bCs/>
          <w:lang w:val="en-US"/>
        </w:rPr>
        <w:t>工程建设，改善乡村</w:t>
      </w:r>
      <w:r>
        <w:rPr>
          <w:rFonts w:hint="eastAsia" w:ascii="楷体_GB2312" w:hAnsi="仿宋" w:eastAsia="楷体_GB2312" w:cs="仿宋"/>
          <w:b/>
          <w:bCs/>
          <w:lang w:val="en-US" w:eastAsia="zh-CN"/>
        </w:rPr>
        <w:t>排水</w:t>
      </w:r>
      <w:r>
        <w:rPr>
          <w:rFonts w:hint="eastAsia" w:ascii="楷体_GB2312" w:hAnsi="仿宋" w:eastAsia="楷体_GB2312" w:cs="仿宋"/>
          <w:b/>
          <w:bCs/>
          <w:lang w:val="en-US"/>
        </w:rPr>
        <w:t>条件。</w:t>
      </w:r>
    </w:p>
    <w:p>
      <w:pPr>
        <w:pStyle w:val="2"/>
        <w:spacing w:before="15" w:line="235" w:lineRule="auto"/>
        <w:ind w:left="131" w:right="270" w:firstLine="482" w:firstLineChars="150"/>
        <w:jc w:val="both"/>
        <w:rPr>
          <w:rFonts w:hint="eastAsia" w:eastAsia="仿宋_GB2312"/>
          <w:color w:val="000000"/>
          <w:szCs w:val="21"/>
          <w:lang w:eastAsia="zh-CN"/>
        </w:rPr>
      </w:pPr>
      <w:r>
        <w:rPr>
          <w:rFonts w:hint="eastAsia" w:ascii="楷体_GB2312" w:eastAsia="楷体_GB2312"/>
          <w:b/>
        </w:rPr>
        <w:t>绩效目标：</w:t>
      </w:r>
      <w:r>
        <w:rPr>
          <w:rFonts w:hint="eastAsia" w:eastAsia="仿宋_GB2312"/>
          <w:color w:val="000000"/>
          <w:szCs w:val="21"/>
        </w:rPr>
        <w:t>本项目的实施</w:t>
      </w:r>
      <w:r>
        <w:rPr>
          <w:rFonts w:hint="eastAsia" w:eastAsia="仿宋_GB2312"/>
          <w:color w:val="000000"/>
          <w:szCs w:val="21"/>
          <w:lang w:eastAsia="zh-CN"/>
        </w:rPr>
        <w:t>有利于提高村街的排水能力</w:t>
      </w:r>
      <w:r>
        <w:rPr>
          <w:rFonts w:hint="eastAsia" w:eastAsia="仿宋_GB2312"/>
          <w:color w:val="000000"/>
          <w:szCs w:val="21"/>
        </w:rPr>
        <w:t>，</w:t>
      </w:r>
      <w:r>
        <w:rPr>
          <w:rFonts w:hint="eastAsia" w:eastAsia="仿宋_GB2312"/>
          <w:color w:val="000000"/>
          <w:szCs w:val="21"/>
          <w:lang w:eastAsia="zh-CN"/>
        </w:rPr>
        <w:t>防止内涝问题的产生</w:t>
      </w:r>
      <w:r>
        <w:rPr>
          <w:rFonts w:hint="eastAsia" w:eastAsia="仿宋_GB2312"/>
          <w:color w:val="000000"/>
          <w:szCs w:val="21"/>
        </w:rPr>
        <w:t>。</w:t>
      </w:r>
      <w:r>
        <w:rPr>
          <w:rFonts w:hint="eastAsia" w:eastAsia="仿宋_GB2312"/>
          <w:color w:val="000000"/>
          <w:szCs w:val="21"/>
          <w:lang w:eastAsia="zh-CN"/>
        </w:rPr>
        <w:t>有利于改善当地居民生活环境，提高居民生活品质，促进社会和谐，赢得民心。</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w:t>
      </w:r>
      <w:r>
        <w:rPr>
          <w:rFonts w:hint="eastAsia" w:eastAsia="仿宋_GB2312"/>
          <w:color w:val="000000"/>
          <w:szCs w:val="21"/>
          <w:lang w:eastAsia="zh-CN"/>
        </w:rPr>
        <w:t>村街排水管道</w:t>
      </w:r>
      <w:r>
        <w:rPr>
          <w:rFonts w:hint="eastAsia" w:eastAsia="仿宋_GB2312"/>
          <w:color w:val="000000"/>
          <w:szCs w:val="21"/>
        </w:rPr>
        <w:t>，在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lang w:val="en-US" w:eastAsia="zh-CN"/>
        </w:rPr>
        <w:t>0.27</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90%</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17</w:t>
      </w:r>
      <w:r>
        <w:rPr>
          <w:rFonts w:hint="eastAsia" w:ascii="楷体_GB2312" w:eastAsia="楷体_GB2312"/>
          <w:b/>
          <w:spacing w:val="-12"/>
        </w:rPr>
        <w:t>）</w:t>
      </w:r>
      <w:r>
        <w:rPr>
          <w:rFonts w:hint="eastAsia" w:ascii="楷体_GB2312" w:hAnsi="仿宋" w:eastAsia="楷体_GB2312" w:cs="仿宋"/>
          <w:b/>
          <w:bCs/>
          <w:lang w:val="en-US"/>
        </w:rPr>
        <w:t>通过开展道路</w:t>
      </w:r>
      <w:r>
        <w:rPr>
          <w:rFonts w:hint="eastAsia" w:ascii="楷体_GB2312" w:hAnsi="仿宋" w:eastAsia="楷体_GB2312" w:cs="仿宋"/>
          <w:b/>
          <w:bCs/>
          <w:lang w:val="en-US" w:eastAsia="zh-CN"/>
        </w:rPr>
        <w:t>硬化</w:t>
      </w:r>
      <w:r>
        <w:rPr>
          <w:rFonts w:hint="eastAsia" w:ascii="楷体_GB2312" w:hAnsi="仿宋" w:eastAsia="楷体_GB2312" w:cs="仿宋"/>
          <w:b/>
          <w:bCs/>
          <w:lang w:val="en-US"/>
        </w:rPr>
        <w:t>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本项目的实施可改善乡村交通条件，提高路网的通行能力，为当地村民提供便利，促进脱贫致富。</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lang w:eastAsia="zh-CN"/>
        </w:rPr>
        <w:t>硬化工程</w:t>
      </w:r>
      <w:r>
        <w:rPr>
          <w:rFonts w:hint="eastAsia" w:eastAsia="仿宋_GB2312"/>
          <w:color w:val="000000"/>
          <w:szCs w:val="21"/>
        </w:rPr>
        <w:t>，在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lang w:val="en-US" w:eastAsia="zh-CN"/>
        </w:rPr>
        <w:t>0.06</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90%</w:t>
      </w:r>
      <w:r>
        <w:rPr>
          <w:rFonts w:hint="eastAsia" w:eastAsia="仿宋_GB2312"/>
          <w:color w:val="000000"/>
          <w:szCs w:val="21"/>
        </w:rPr>
        <w:t>以上。</w:t>
      </w:r>
    </w:p>
    <w:p>
      <w:pPr>
        <w:widowControl w:val="0"/>
        <w:wordWrap/>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widowControl w:val="0"/>
        <w:wordWrap/>
        <w:spacing w:before="4" w:line="600" w:lineRule="exact"/>
        <w:ind w:right="213" w:firstLine="611" w:firstLineChars="200"/>
        <w:jc w:val="both"/>
        <w:textAlignment w:val="auto"/>
        <w:rPr>
          <w:rFonts w:hint="eastAsia" w:ascii="仿宋_GB2312" w:eastAsia="仿宋_GB2312"/>
        </w:rPr>
      </w:pPr>
      <w:r>
        <w:rPr>
          <w:rFonts w:hint="eastAsia" w:ascii="楷体_GB2312" w:eastAsia="楷体_GB2312"/>
          <w:b/>
          <w:w w:val="95"/>
          <w:lang w:val="en-US"/>
        </w:rPr>
        <w:t>（</w:t>
      </w:r>
      <w:r>
        <w:rPr>
          <w:rFonts w:hint="eastAsia" w:ascii="楷体_GB2312" w:eastAsia="楷体_GB2312"/>
          <w:b/>
          <w:w w:val="95"/>
          <w:lang w:val="en-US" w:eastAsia="zh-CN"/>
        </w:rPr>
        <w:t>1</w:t>
      </w:r>
      <w:r>
        <w:rPr>
          <w:rFonts w:hint="eastAsia" w:ascii="楷体_GB2312" w:eastAsia="楷体_GB2312"/>
          <w:b/>
          <w:w w:val="95"/>
          <w:lang w:val="en-US"/>
        </w:rPr>
        <w:t>）</w:t>
      </w:r>
      <w:r>
        <w:rPr>
          <w:rFonts w:hint="eastAsia" w:ascii="楷体_GB2312" w:eastAsia="楷体_GB2312"/>
          <w:b/>
          <w:w w:val="95"/>
        </w:rPr>
        <w:t>完善</w:t>
      </w:r>
      <w:r>
        <w:rPr>
          <w:rFonts w:hint="eastAsia" w:ascii="楷体_GB2312" w:eastAsia="楷体_GB2312"/>
          <w:b/>
          <w:spacing w:val="-7"/>
          <w:w w:val="95"/>
        </w:rPr>
        <w:t>制度建设。</w:t>
      </w:r>
      <w:r>
        <w:rPr>
          <w:rFonts w:hint="eastAsia" w:ascii="仿宋_GB2312" w:eastAsia="仿宋_GB2312"/>
          <w:spacing w:val="-2"/>
          <w:w w:val="95"/>
        </w:rPr>
        <w:t>制定完善预算绩效管理制度、资金管</w:t>
      </w:r>
      <w:r>
        <w:rPr>
          <w:rFonts w:hint="eastAsia" w:ascii="仿宋_GB2312" w:eastAsia="仿宋_GB2312"/>
          <w:spacing w:val="-8"/>
          <w:w w:val="95"/>
        </w:rPr>
        <w:t>理办法、工作保障制度等，为全年预算绩效目标的实现奠定制度</w:t>
      </w:r>
      <w:r>
        <w:rPr>
          <w:rFonts w:hint="eastAsia" w:ascii="仿宋_GB2312" w:eastAsia="仿宋_GB2312"/>
          <w:spacing w:val="-8"/>
        </w:rPr>
        <w:t>基础。</w:t>
      </w:r>
    </w:p>
    <w:p>
      <w:pPr>
        <w:pStyle w:val="2"/>
        <w:widowControl w:val="0"/>
        <w:wordWrap/>
        <w:spacing w:before="3" w:line="600" w:lineRule="exact"/>
        <w:ind w:right="271"/>
        <w:jc w:val="both"/>
        <w:textAlignment w:val="auto"/>
        <w:rPr>
          <w:rFonts w:hint="eastAsia" w:ascii="仿宋_GB2312" w:eastAsia="仿宋_GB2312"/>
        </w:rPr>
      </w:pPr>
      <w:r>
        <w:rPr>
          <w:rFonts w:hint="eastAsia" w:ascii="仿宋_GB2312" w:eastAsia="仿宋_GB2312"/>
          <w:b/>
          <w:spacing w:val="-4"/>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2</w:t>
      </w:r>
      <w:r>
        <w:rPr>
          <w:rFonts w:hint="eastAsia" w:ascii="楷体_GB2312" w:eastAsia="楷体_GB2312"/>
          <w:b/>
          <w:w w:val="95"/>
          <w:lang w:val="en-US"/>
        </w:rPr>
        <w:t>）</w:t>
      </w:r>
      <w:r>
        <w:rPr>
          <w:rFonts w:hint="eastAsia" w:ascii="楷体_GB2312" w:eastAsia="楷体_GB2312"/>
          <w:b/>
          <w:w w:val="95"/>
        </w:rPr>
        <w:t>加强支出管理。</w:t>
      </w:r>
      <w:r>
        <w:rPr>
          <w:rFonts w:hint="eastAsia" w:ascii="仿宋_GB2312" w:eastAsia="仿宋_GB2312"/>
          <w:spacing w:val="-3"/>
        </w:rPr>
        <w:t>通过优化支出结构、编细编实预算、加快履行政府采购手续、尽快启动项目、及时支付资金、6</w:t>
      </w:r>
      <w:r>
        <w:rPr>
          <w:rFonts w:hint="eastAsia" w:ascii="仿宋_GB2312" w:eastAsia="仿宋_GB2312"/>
        </w:rPr>
        <w:t>月底前细</w:t>
      </w:r>
      <w:r>
        <w:rPr>
          <w:rFonts w:hint="eastAsia" w:ascii="仿宋_GB2312" w:eastAsia="仿宋_GB2312"/>
          <w:spacing w:val="-8"/>
        </w:rPr>
        <w:t>化代编预算、按规定及时下达资金等多种措施，确保支出进度达标。</w:t>
      </w:r>
    </w:p>
    <w:p>
      <w:pPr>
        <w:pStyle w:val="2"/>
        <w:widowControl w:val="0"/>
        <w:wordWrap/>
        <w:spacing w:before="9" w:line="600" w:lineRule="exact"/>
        <w:ind w:right="212"/>
        <w:textAlignment w:val="auto"/>
        <w:rPr>
          <w:rFonts w:hint="eastAsia" w:ascii="仿宋_GB2312" w:eastAsia="仿宋_GB2312"/>
        </w:rPr>
      </w:pPr>
      <w:r>
        <w:rPr>
          <w:rFonts w:hint="eastAsia" w:ascii="仿宋_GB2312" w:eastAsia="仿宋_GB2312"/>
          <w:b/>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3</w:t>
      </w:r>
      <w:r>
        <w:rPr>
          <w:rFonts w:hint="eastAsia" w:ascii="楷体_GB2312" w:eastAsia="楷体_GB2312"/>
          <w:b/>
          <w:w w:val="95"/>
          <w:lang w:val="en-US"/>
        </w:rPr>
        <w:t>）</w:t>
      </w:r>
      <w:r>
        <w:rPr>
          <w:rFonts w:hint="eastAsia" w:ascii="楷体_GB2312" w:eastAsia="楷体_GB2312"/>
          <w:b/>
          <w:w w:val="95"/>
        </w:rPr>
        <w:t>加强绩效运行监控。</w:t>
      </w:r>
      <w:r>
        <w:rPr>
          <w:rFonts w:hint="eastAsia" w:ascii="仿宋_GB2312" w:eastAsia="仿宋_GB2312"/>
        </w:rPr>
        <w:t>按要求开展绩效运行监控，发现问题及时采取措施，确保绩效目标如期保质实现。</w:t>
      </w:r>
    </w:p>
    <w:p>
      <w:pPr>
        <w:pStyle w:val="2"/>
        <w:widowControl w:val="0"/>
        <w:wordWrap/>
        <w:spacing w:before="3" w:line="600" w:lineRule="exact"/>
        <w:ind w:right="114"/>
        <w:textAlignment w:val="auto"/>
        <w:rPr>
          <w:rFonts w:hint="eastAsia" w:ascii="仿宋_GB2312" w:eastAsia="仿宋_GB2312"/>
        </w:rPr>
      </w:pPr>
      <w:r>
        <w:rPr>
          <w:rFonts w:hint="eastAsia" w:ascii="仿宋_GB2312" w:eastAsia="仿宋_GB2312"/>
          <w:b/>
          <w:spacing w:val="-7"/>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4</w:t>
      </w:r>
      <w:r>
        <w:rPr>
          <w:rFonts w:hint="eastAsia" w:ascii="楷体_GB2312" w:eastAsia="楷体_GB2312"/>
          <w:b/>
          <w:w w:val="95"/>
          <w:lang w:val="en-US"/>
        </w:rPr>
        <w:t>）</w:t>
      </w:r>
      <w:r>
        <w:rPr>
          <w:rFonts w:hint="eastAsia" w:ascii="楷体_GB2312" w:eastAsia="楷体_GB2312"/>
          <w:b/>
          <w:w w:val="95"/>
        </w:rPr>
        <w:t>做好绩效自评。</w:t>
      </w:r>
      <w:r>
        <w:rPr>
          <w:rFonts w:hint="eastAsia" w:ascii="仿宋_GB2312" w:eastAsia="仿宋_GB2312"/>
        </w:rPr>
        <w:t>按要求开展上年度部门预算绩效自评和重</w:t>
      </w:r>
      <w:r>
        <w:rPr>
          <w:rFonts w:hint="eastAsia" w:ascii="仿宋_GB2312" w:eastAsia="仿宋_GB2312"/>
          <w:spacing w:val="-16"/>
        </w:rPr>
        <w:t>点评价工作，对评价中发现的问题及时整改，调整优化支出结构，提高财政资金使用效益。</w:t>
      </w:r>
    </w:p>
    <w:p>
      <w:pPr>
        <w:widowControl w:val="0"/>
        <w:wordWrap/>
        <w:spacing w:line="600" w:lineRule="exact"/>
        <w:textAlignment w:val="auto"/>
        <w:rPr>
          <w:rFonts w:hint="eastAsia" w:ascii="仿宋_GB2312" w:eastAsia="仿宋_GB2312"/>
        </w:rPr>
      </w:pPr>
      <w:r>
        <w:rPr>
          <w:rFonts w:hint="eastAsia" w:ascii="仿宋_GB2312" w:eastAsia="仿宋_GB2312"/>
          <w:b/>
          <w:sz w:val="32"/>
          <w:lang w:val="en-US"/>
        </w:rPr>
        <w:t xml:space="preserve">    </w:t>
      </w:r>
      <w:r>
        <w:rPr>
          <w:rFonts w:hint="eastAsia" w:ascii="楷体_GB2312" w:eastAsia="楷体_GB2312"/>
          <w:b/>
          <w:w w:val="95"/>
          <w:sz w:val="32"/>
          <w:szCs w:val="32"/>
          <w:lang w:val="en-US"/>
        </w:rPr>
        <w:t>（</w:t>
      </w:r>
      <w:r>
        <w:rPr>
          <w:rFonts w:hint="eastAsia" w:ascii="楷体_GB2312" w:eastAsia="楷体_GB2312"/>
          <w:b/>
          <w:w w:val="95"/>
          <w:sz w:val="32"/>
          <w:szCs w:val="32"/>
          <w:lang w:val="en-US" w:eastAsia="zh-CN"/>
        </w:rPr>
        <w:t>5</w:t>
      </w:r>
      <w:r>
        <w:rPr>
          <w:rFonts w:hint="eastAsia" w:ascii="楷体_GB2312" w:eastAsia="楷体_GB2312"/>
          <w:b/>
          <w:w w:val="95"/>
          <w:sz w:val="32"/>
          <w:szCs w:val="32"/>
          <w:lang w:val="en-US"/>
        </w:rPr>
        <w:t>）</w:t>
      </w:r>
      <w:r>
        <w:rPr>
          <w:rFonts w:hint="eastAsia" w:ascii="楷体_GB2312" w:eastAsia="楷体_GB2312"/>
          <w:b/>
          <w:w w:val="95"/>
          <w:sz w:val="32"/>
          <w:szCs w:val="32"/>
        </w:rPr>
        <w:t>规范财务资产管理。</w:t>
      </w:r>
      <w:r>
        <w:rPr>
          <w:rFonts w:hint="eastAsia" w:ascii="仿宋_GB2312" w:eastAsia="仿宋_GB2312"/>
          <w:sz w:val="32"/>
        </w:rPr>
        <w:t>完善财务管理制度，严格审批程序，</w:t>
      </w:r>
      <w:r>
        <w:rPr>
          <w:rFonts w:hint="eastAsia" w:ascii="仿宋_GB2312" w:eastAsia="仿宋_GB2312"/>
          <w:spacing w:val="-8"/>
          <w:sz w:val="32"/>
          <w:szCs w:val="32"/>
        </w:rPr>
        <w:t>加强固定资产登记、使用和报废处置管理，做到支出合理，物尽其用。</w:t>
      </w:r>
    </w:p>
    <w:p>
      <w:pPr>
        <w:pStyle w:val="2"/>
        <w:widowControl w:val="0"/>
        <w:wordWrap/>
        <w:spacing w:before="3" w:line="600" w:lineRule="exact"/>
        <w:ind w:right="114" w:firstLine="611" w:firstLineChars="200"/>
        <w:textAlignment w:val="auto"/>
        <w:rPr>
          <w:rFonts w:hint="eastAsia" w:ascii="仿宋_GB2312" w:eastAsia="仿宋_GB2312"/>
          <w:b/>
          <w:spacing w:val="-7"/>
          <w:lang w:val="en-US"/>
        </w:rPr>
      </w:pPr>
      <w:r>
        <w:rPr>
          <w:rFonts w:hint="eastAsia" w:ascii="楷体_GB2312" w:eastAsia="楷体_GB2312"/>
          <w:b/>
          <w:w w:val="95"/>
          <w:lang w:val="en-US"/>
        </w:rPr>
        <w:t>（</w:t>
      </w:r>
      <w:r>
        <w:rPr>
          <w:rFonts w:hint="eastAsia" w:ascii="楷体_GB2312" w:eastAsia="楷体_GB2312"/>
          <w:b/>
          <w:w w:val="95"/>
          <w:lang w:val="en-US" w:eastAsia="zh-CN"/>
        </w:rPr>
        <w:t>6</w:t>
      </w:r>
      <w:r>
        <w:rPr>
          <w:rFonts w:hint="eastAsia" w:ascii="楷体_GB2312" w:eastAsia="楷体_GB2312"/>
          <w:b/>
          <w:w w:val="95"/>
          <w:lang w:val="en-US"/>
        </w:rPr>
        <w:t>）加强内部监督。</w:t>
      </w:r>
      <w:r>
        <w:rPr>
          <w:rFonts w:hint="eastAsia" w:ascii="仿宋_GB2312" w:eastAsia="仿宋_GB2312"/>
          <w:spacing w:val="-7"/>
          <w:lang w:val="en-US"/>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wordWrap/>
        <w:overflowPunct w:val="0"/>
        <w:adjustRightInd w:val="0"/>
        <w:snapToGrid w:val="0"/>
        <w:spacing w:afterLines="50" w:line="600" w:lineRule="exact"/>
        <w:ind w:firstLine="598" w:firstLineChars="196"/>
        <w:jc w:val="left"/>
        <w:textAlignment w:val="auto"/>
        <w:rPr>
          <w:rFonts w:hint="eastAsia" w:ascii="楷体_GB2312" w:hAnsi="微软雅黑" w:eastAsia="楷体_GB2312" w:cs="微软雅黑"/>
          <w:b/>
          <w:w w:val="95"/>
          <w:kern w:val="0"/>
          <w:sz w:val="32"/>
          <w:szCs w:val="32"/>
          <w:lang w:val="en-US" w:eastAsia="zh-CN" w:bidi="zh-CN"/>
        </w:rPr>
      </w:pPr>
      <w:r>
        <w:rPr>
          <w:rFonts w:hint="eastAsia" w:ascii="楷体_GB2312" w:hAnsi="微软雅黑" w:eastAsia="楷体_GB2312" w:cs="微软雅黑"/>
          <w:b/>
          <w:w w:val="95"/>
          <w:kern w:val="0"/>
          <w:sz w:val="32"/>
          <w:szCs w:val="32"/>
          <w:lang w:val="en-US" w:eastAsia="zh-CN" w:bidi="zh-CN"/>
        </w:rPr>
        <w:t>（7）加强宣传培训调研等。</w:t>
      </w:r>
      <w:r>
        <w:rPr>
          <w:rFonts w:hint="eastAsia" w:ascii="仿宋_GB2312" w:hAnsi="微软雅黑" w:eastAsia="仿宋_GB2312" w:cs="微软雅黑"/>
          <w:spacing w:val="-7"/>
          <w:kern w:val="0"/>
          <w:sz w:val="32"/>
          <w:szCs w:val="32"/>
          <w:lang w:val="en-US" w:eastAsia="zh-CN" w:bidi="zh-CN"/>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0" w:lineRule="exact"/>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3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4"/>
        <w:gridCol w:w="795"/>
        <w:gridCol w:w="2140"/>
        <w:gridCol w:w="1725"/>
        <w:gridCol w:w="3135"/>
        <w:gridCol w:w="1050"/>
        <w:gridCol w:w="1020"/>
        <w:gridCol w:w="106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13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4" w:type="dxa"/>
            <w:vMerge w:val="continue"/>
            <w:tcBorders>
              <w:tl2br w:val="nil"/>
              <w:tr2bl w:val="nil"/>
            </w:tcBorders>
            <w:vAlign w:val="center"/>
          </w:tcPr>
          <w:p/>
        </w:tc>
        <w:tc>
          <w:tcPr>
            <w:tcW w:w="795" w:type="dxa"/>
            <w:vMerge w:val="continue"/>
            <w:tcBorders>
              <w:tl2br w:val="nil"/>
              <w:tr2bl w:val="nil"/>
            </w:tcBorders>
            <w:vAlign w:val="center"/>
          </w:tcPr>
          <w:p/>
        </w:tc>
        <w:tc>
          <w:tcPr>
            <w:tcW w:w="2140" w:type="dxa"/>
            <w:vMerge w:val="continue"/>
            <w:tcBorders>
              <w:tl2br w:val="nil"/>
              <w:tr2bl w:val="nil"/>
            </w:tcBorders>
            <w:vAlign w:val="center"/>
          </w:tcPr>
          <w:p/>
        </w:tc>
        <w:tc>
          <w:tcPr>
            <w:tcW w:w="1725" w:type="dxa"/>
            <w:vMerge w:val="continue"/>
            <w:tcBorders>
              <w:tl2br w:val="nil"/>
              <w:tr2bl w:val="nil"/>
            </w:tcBorders>
            <w:vAlign w:val="center"/>
          </w:tcPr>
          <w:p/>
        </w:tc>
        <w:tc>
          <w:tcPr>
            <w:tcW w:w="3135" w:type="dxa"/>
            <w:vMerge w:val="continue"/>
            <w:tcBorders>
              <w:tl2br w:val="nil"/>
              <w:tr2bl w:val="nil"/>
            </w:tcBorders>
            <w:vAlign w:val="center"/>
          </w:tcPr>
          <w:p/>
        </w:tc>
        <w:tc>
          <w:tcPr>
            <w:tcW w:w="10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9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4"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cs="宋体"/>
                <w:sz w:val="18"/>
                <w:szCs w:val="18"/>
                <w:lang w:eastAsia="zh-CN"/>
              </w:rPr>
              <w:t>单位</w:t>
            </w:r>
            <w:r>
              <w:rPr>
                <w:rFonts w:hint="eastAsia" w:ascii="宋体" w:hAnsi="宋体" w:eastAsia="宋体" w:cs="宋体"/>
                <w:sz w:val="18"/>
                <w:szCs w:val="18"/>
              </w:rPr>
              <w:t>产出</w:t>
            </w: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年度主要工作数量</w:t>
            </w:r>
          </w:p>
        </w:tc>
        <w:tc>
          <w:tcPr>
            <w:tcW w:w="1725" w:type="dxa"/>
            <w:tcBorders>
              <w:tl2br w:val="nil"/>
              <w:tr2bl w:val="nil"/>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工作数</w:t>
            </w:r>
            <w:r>
              <w:rPr>
                <w:rFonts w:hint="eastAsia" w:ascii="宋体" w:hAnsi="宋体" w:eastAsia="宋体" w:cs="宋体"/>
                <w:kern w:val="2"/>
                <w:sz w:val="18"/>
                <w:szCs w:val="18"/>
                <w:lang w:val="en-US" w:eastAsia="zh-CN" w:bidi="ar-SA"/>
              </w:rPr>
              <w:t>量</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反映全镇202</w:t>
            </w:r>
            <w:r>
              <w:rPr>
                <w:rFonts w:hint="eastAsia" w:ascii="宋体" w:hAnsi="宋体" w:eastAsia="宋体" w:cs="宋体"/>
                <w:sz w:val="18"/>
                <w:szCs w:val="18"/>
                <w:lang w:val="en-US" w:eastAsia="zh-CN"/>
              </w:rPr>
              <w:t>2</w:t>
            </w:r>
            <w:r>
              <w:rPr>
                <w:rFonts w:hint="eastAsia" w:ascii="宋体" w:hAnsi="宋体" w:eastAsia="宋体" w:cs="宋体"/>
                <w:sz w:val="18"/>
                <w:szCs w:val="18"/>
              </w:rPr>
              <w:t>年度开展主要工作的数量</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个</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各项</w:t>
            </w:r>
            <w:r>
              <w:rPr>
                <w:rFonts w:hint="eastAsia" w:ascii="宋体" w:hAnsi="宋体" w:cs="宋体"/>
                <w:sz w:val="18"/>
                <w:szCs w:val="18"/>
                <w:lang w:eastAsia="zh-CN"/>
              </w:rPr>
              <w:t>工作</w:t>
            </w:r>
            <w:r>
              <w:rPr>
                <w:rFonts w:hint="eastAsia" w:ascii="宋体" w:hAnsi="宋体" w:eastAsia="宋体" w:cs="宋体"/>
                <w:sz w:val="18"/>
                <w:szCs w:val="18"/>
              </w:rPr>
              <w:t>开展落实率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工作开展情况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反映全镇各项主要工作开展落实情况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主要工作开展时效性</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工作开展时效性</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反映全镇主要工作开展的时效性</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140" w:type="dxa"/>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val="0"/>
                <w:bCs w:val="0"/>
                <w:sz w:val="18"/>
                <w:szCs w:val="18"/>
              </w:rPr>
              <w:t>成本节约量</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成本节约量</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反映开展主要工作的成本节约量</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784.28</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cs="宋体"/>
                <w:sz w:val="18"/>
                <w:szCs w:val="18"/>
                <w:lang w:eastAsia="zh-CN"/>
              </w:rPr>
              <w:t>单位</w:t>
            </w:r>
            <w:r>
              <w:rPr>
                <w:rFonts w:hint="eastAsia" w:ascii="宋体" w:hAnsi="宋体" w:eastAsia="宋体" w:cs="宋体"/>
                <w:sz w:val="18"/>
                <w:szCs w:val="18"/>
              </w:rPr>
              <w:t>效果</w:t>
            </w: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辖区居民生活水平显著提升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生活水平提升情况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反映辖区居民生活水平提升情况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显著提升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全镇经济发展稳步提升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反映全镇经济发展水平提升情况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稳步提升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辖区生态环境显著提升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生态环境提升情况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反映全镇生态环境提升情况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显著提升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群众满意度</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反映群众满意度</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实际调查</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[13102522P008964100010]安监经费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1328"/>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用于保障安监办正常运转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50%</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80%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监办通过巡查及时处理镇区存在的安全生产隐患，年度巡查次数不少48次，实现镇区内企业安全生产意识、安全生产验收达标率、安全隐患整改率的提高,达到主管部门整体要求，项目经费控制在10万元，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巡查次数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反映年度巡查次数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整改后安全生产标准达标率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反映整改后企业安全生产标准达标率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事故处理及时率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反映事故处理及时率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生产经营单位安全隐患整改率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反映</w:t>
            </w:r>
            <w:r>
              <w:rPr>
                <w:rFonts w:hint="eastAsia" w:ascii="宋体" w:hAnsi="宋体" w:eastAsia="宋体" w:cs="宋体"/>
                <w:i w:val="0"/>
                <w:iCs w:val="0"/>
                <w:color w:val="000000"/>
                <w:kern w:val="0"/>
                <w:sz w:val="18"/>
                <w:szCs w:val="18"/>
                <w:u w:val="none"/>
                <w:lang w:val="en-US" w:eastAsia="zh-CN"/>
              </w:rPr>
              <w:t>已整改隐患占发现隐患总数的比率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经济效益指标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提升企业效益</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反映提升企业效益情况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反映企业安全生产行为是否长期改善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回头看工作考核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农村环境整治经费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[13102522P00896210001L]农村环境整治经费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用于整治农村环境卫生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通过项目的开展排查垃圾处理点数量不少于40个，使我镇垃圾及时有效处理，环境质量达到明显改善，建立农村环境整治长效管理机制，实现群众得到满意效果目标，提升群众的生活质量。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垃圾及时处理性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反映垃圾发现及时处理性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反映项目预算成本控制量情况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农村环境提升情况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反映农村环境整治工作是否长期满足群众需求</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ind w:firstLine="560" w:firstLineChars="200"/>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lang w:eastAsia="zh-CN"/>
        </w:rPr>
        <w:t>妇联基层组织建设经费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[13102522P00896810001N]</w:t>
            </w:r>
            <w:r>
              <w:rPr>
                <w:rStyle w:val="14"/>
                <w:rFonts w:hint="eastAsia" w:ascii="宋体" w:hAnsi="宋体" w:eastAsia="宋体" w:cs="宋体"/>
                <w:sz w:val="18"/>
                <w:szCs w:val="18"/>
                <w:lang w:val="en-US" w:eastAsia="zh-CN"/>
              </w:rPr>
              <w:t>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用于妇联开展各项活动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60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按期开展相关妇联培训、“春蕾计划”等工作，提升妇女干部谋划工作、服务发展的能力。项目经费控制在1万元。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开展活动次数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开展活动质量达标率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反映按期完成的培训计划占总培训计划的比率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万云</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对社会的影响情况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反映社会对妇女能力评价的影响情况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妇女后备干部建设情况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lang w:eastAsia="zh-CN"/>
        </w:rPr>
        <w:t>环保经费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[13102522P00896310001A]环保经费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用于生态环境保护工作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通过检查企业生产，最大限度地发现、纠正、督促企业消除各类违法排污，预防和减少环境污染，全年优良天气数量增加，实现乡镇环保形势持续稳定好转。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工业固体废物处置率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反映处置及综合利用的工业固体废物的比率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巡查企业合格率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工作目标按计划完成率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反映工作目标按计划的完成率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环境质量提升情况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环保设施使用年限</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反映环保设施使用年限</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lang w:eastAsia="zh-CN"/>
        </w:rPr>
        <w:t>基层党建团建工作经费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[13102522P008967100011]基层党建团建工作经费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用于基层党建团建工作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通过开展多种形式的党性教育活动和业务培训活动，不少于4次，及时按照绩效考核标准对党建团建工作进行考核，争取100%合格率，实现党建团建工作水平提高和富有活力的基层组织的广泛建立覆盖。项目经费控制在2万元。实现党建团建工作水平提高和富有活力的基层组织的广泛建立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开展党性教育次数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反映本年度开展党性教育的次数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党建团建工作考核合格率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反映党建团建工作考核合格率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党建团建活动的完成及时率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反映党建团建活动的完成及时率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党建团建工作社会影响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反映群众对党建团建工作的评价</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党团后备干部建设</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反映党团后备干部队伍建设情况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接受培训人员满意度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反映调查中受训人员满意数占总调查人数的比例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lang w:eastAsia="zh-CN"/>
        </w:rPr>
        <w:t>建档立卡脱贫户生产生活补助金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[13102522P00896510001M]2022</w:t>
            </w:r>
            <w:r>
              <w:rPr>
                <w:rStyle w:val="15"/>
                <w:rFonts w:hint="eastAsia" w:ascii="宋体" w:hAnsi="宋体" w:eastAsia="宋体" w:cs="宋体"/>
                <w:sz w:val="18"/>
                <w:szCs w:val="18"/>
                <w:lang w:val="en-US" w:eastAsia="zh-CN"/>
              </w:rPr>
              <w:t>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用于脱贫户的生产生活补助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有效改善脱贫户日常生活，实现脱贫户家庭收入有效增长</w:t>
            </w:r>
            <w:r>
              <w:rPr>
                <w:rFonts w:hint="eastAsia"/>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扶助户数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反映年度内享受帮扶政策户数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生活质量达标率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反映生活质量达标率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扶助资金到位率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反映实际到位扶助资金的比率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慰问金发放标准</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反映慰问金发放标准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元/户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对镇区社会安定情况的影响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反映对镇区社会安定情况的影响</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有利于镇区稳定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是否长期满足脱贫户的需求</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反映是否长期满足贫困户的需求</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被补助对象满意度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反映被补助对象满意度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lang w:eastAsia="zh-CN"/>
        </w:rPr>
        <w:t>人大代表联络站经费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[13102522P00896910001C]</w:t>
            </w:r>
            <w:r>
              <w:rPr>
                <w:rStyle w:val="16"/>
                <w:rFonts w:hint="eastAsia" w:ascii="宋体" w:hAnsi="宋体" w:eastAsia="宋体" w:cs="宋体"/>
                <w:sz w:val="18"/>
                <w:szCs w:val="18"/>
                <w:lang w:val="en-US" w:eastAsia="zh-CN"/>
              </w:rPr>
              <w:t>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用于人大代表联络站开展各项工作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20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联络站运行情况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反映联络站运行情况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活动举办时效</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反映活动按期举办时效性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社会稳定水平</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反映社会稳定水平</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联络站制度健全性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lang w:eastAsia="zh-CN"/>
        </w:rPr>
        <w:t>2020年度农村综合改革示范村建设资金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[13102522P00897510001W]2020年度农村综合改革示范村建设资金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101.086300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用于刘四岳村养殖场购买羊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提升村集体收入，提高村民幸福感</w:t>
            </w:r>
            <w:r>
              <w:rPr>
                <w:rFonts w:hint="eastAsia"/>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购买羊数量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反映购买羊数量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101.09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9.乡镇武装部武装工作经费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[13102522P008976100026]乡镇武装部武装工作经费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用于保障武装部工作顺利开展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保障武装部工作顺利开展，提民兵素质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民兵训练次数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反映民兵训练次数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工作顺利开展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反映工作顺利开展</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顺利开展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按时间节点完成新兵征集工作</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反映按时间节点完成新兵征集工作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创造和谐稳定的社会环境</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反映创造和谐稳定的社会环境</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和谐稳定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持续提高民兵素质</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反映持续提高民兵素质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提高</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lang w:eastAsia="zh-CN"/>
        </w:rPr>
        <w:t>退役军人服务站工作经费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[13102522P00896610001B]退役军人服务站工作经费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用于退役军人服务站开展各项活动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做好就业创业扶持、走访慰问、帮扶解困、信访接待、权益保障等工作，切实维护好退役军人合法利益，切实把广大退役军人工作和生活保障好，激励他们为改革发展和社会稳定作出积极贡献。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帮扶退役军人次数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反映帮扶退役军人次数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慰问金发放准确率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反映慰问金发放准确率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反映培训计划按期完成率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帮扶退役军人工作对镇区信访工作的影响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反映帮扶退役军人工作对镇区信访工作的影响</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有利于信访稳定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帮扶工作的长期影响性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反映帮扶工作能否长期改善退役军人的工作状况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冀办发[2019]10号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接受服务的重点人群对提供服务的满意程度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lang w:eastAsia="zh-CN"/>
        </w:rPr>
        <w:t>2022年廊泊路两侧绿化土地流转资金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[13102522P00897010001G]2022</w:t>
            </w:r>
            <w:r>
              <w:rPr>
                <w:rStyle w:val="17"/>
                <w:rFonts w:hint="eastAsia" w:ascii="宋体" w:hAnsi="宋体" w:eastAsia="宋体" w:cs="宋体"/>
                <w:sz w:val="18"/>
                <w:szCs w:val="18"/>
                <w:lang w:val="en-US" w:eastAsia="zh-CN"/>
              </w:rPr>
              <w:t>年廊泊路两侧绿化土地流转资金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用于廊泊路两侧绿化土地流转补偿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通过修建廊泊路两侧绿化带，实现流转土地面积不少于836.6亩，将土地流转资金按期及时足额发放给路段两侧居民，提升镇区环境质量，带动经济增长，提升群众观感，增强人民幸福感。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流转土地面积</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反映流转土地面积</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资金拨付比率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反映拨付到户资金占总资金的比率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资金拨付及时性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反映资金拨付及时性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《大城县廊泊路两侧绿化景观提升实施方案》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lang w:eastAsia="zh-CN"/>
        </w:rPr>
        <w:t>2022年中源路两侧绿化土地流转资金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[13102522P008971100016]2022年中源路两侧绿化土地流转资金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11.004200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用于中源路两侧绿化土地流转补偿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通过实现流转土地面积110.042亩，旺村镇农业办公室和旺村财政所分别核实和资金申请，保证农户的资金按时发放到位，确保农民的利益和全镇的稳定，打造一个良好的营商氛围，建立绿化环境。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流转土地面积</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反映流转土地面积</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110.04</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资金拨付比率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反映拨付到户资金占总资金的比率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资金拨付及时性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反映资金拨付及时性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《大城县中源路两侧绿化景观提升实施方案》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13.</w:t>
      </w:r>
      <w:r>
        <w:rPr>
          <w:rFonts w:hint="eastAsia" w:ascii="Times New Roman" w:hAnsi="Times New Roman" w:eastAsia="仿宋_GB2312" w:cs="Times New Roman"/>
          <w:sz w:val="28"/>
          <w:lang w:eastAsia="zh-CN"/>
        </w:rPr>
        <w:t>大城县旺村镇西万灯村道路工程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[13102522P008974100017]大城县旺村镇西万灯村道路工程-上级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199.690000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用于修建西万灯村水泥路和路灯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1677</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199.69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大城县旺村镇东臧庄村道路工程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[13102522P00897210002F]大城县旺村镇东臧庄村道路工程-上级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71.800000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用于修建东臧庄村水泥路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1202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lang w:eastAsia="zh-CN"/>
        </w:rPr>
        <w:t>大城县旺村镇西子牙河南村道路工程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[13102522P00897310003Q]大城县旺村镇西子牙河南村道路工程-上级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218.510000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用于修建西子牙河南村水泥路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3280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218.51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lang w:eastAsia="zh-CN"/>
        </w:rPr>
        <w:t>大城县旺村镇北四岳村排水管道工程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[13102521AWCN7U5GXR2O3]大城县旺村镇北四岳村排水管道工程</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0.268000</w:t>
            </w:r>
            <w:r>
              <w:rPr>
                <w:rFonts w:hint="eastAsia" w:ascii="宋体" w:hAnsi="宋体" w:cs="宋体"/>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用于建设北四岳村排水管道工程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方便村</w:t>
            </w:r>
            <w:r>
              <w:rPr>
                <w:rFonts w:hint="eastAsia"/>
                <w:sz w:val="18"/>
                <w:szCs w:val="18"/>
                <w:lang w:eastAsia="zh-CN"/>
              </w:rPr>
              <w:t>街</w:t>
            </w:r>
            <w:r>
              <w:rPr>
                <w:rFonts w:hint="eastAsia"/>
                <w:sz w:val="18"/>
                <w:szCs w:val="18"/>
              </w:rPr>
              <w:t>排水，提升群众幸福感。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0.27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项目完成后可持续影响年度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反映项目完成后可持续影响年度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17.</w:t>
      </w:r>
      <w:r>
        <w:rPr>
          <w:rFonts w:hint="eastAsia" w:ascii="Times New Roman" w:hAnsi="Times New Roman" w:eastAsia="仿宋_GB2312" w:cs="Times New Roman"/>
          <w:sz w:val="28"/>
          <w:lang w:eastAsia="zh-CN"/>
        </w:rPr>
        <w:t>小崔四岳村街道路硬化工程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[13102521P00830210001C]小崔四岳村街道路硬化工程</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0.056700</w:t>
            </w:r>
            <w:r>
              <w:rPr>
                <w:rFonts w:hint="eastAsia" w:ascii="宋体" w:hAnsi="宋体" w:cs="宋体"/>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用于小崔四岳村道路硬化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方便村民出行，提升群众幸福感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0.06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项目完成后可持续影响年度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反映项目完成后可持续影响年度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510.38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jc w:val="left"/>
        <w:outlineLvl w:val="0"/>
        <w:rPr>
          <w:rFonts w:hint="default" w:ascii="Times New Roman" w:hAnsi="Times New Roman" w:eastAsia="宋体" w:cs="Times New Roman"/>
          <w:lang w:val="en-US" w:eastAsia="zh-CN"/>
        </w:rPr>
      </w:pPr>
      <w:r>
        <w:rPr>
          <w:rFonts w:hint="eastAsia"/>
          <w:lang w:eastAsia="zh-CN"/>
        </w:rPr>
        <w:t>大城县旺村镇人民政府本级</w:t>
      </w:r>
      <w:r>
        <w:rPr>
          <w:rFonts w:hint="eastAsia"/>
          <w:lang w:val="en-US" w:eastAsia="zh-CN"/>
        </w:rPr>
        <w:t xml:space="preserve">                                                                                                         </w:t>
      </w:r>
      <w:r>
        <w:t>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1260"/>
        <w:gridCol w:w="960"/>
        <w:gridCol w:w="1065"/>
        <w:gridCol w:w="600"/>
        <w:gridCol w:w="686"/>
        <w:gridCol w:w="850"/>
        <w:gridCol w:w="964"/>
        <w:gridCol w:w="1085"/>
        <w:gridCol w:w="930"/>
        <w:gridCol w:w="945"/>
        <w:gridCol w:w="896"/>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77" w:type="dxa"/>
            <w:gridSpan w:val="2"/>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政府采购项目来源</w:t>
            </w:r>
          </w:p>
        </w:tc>
        <w:tc>
          <w:tcPr>
            <w:tcW w:w="960"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采购物品名称</w:t>
            </w:r>
          </w:p>
        </w:tc>
        <w:tc>
          <w:tcPr>
            <w:tcW w:w="1065"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政府采购目录序号</w:t>
            </w:r>
          </w:p>
        </w:tc>
        <w:tc>
          <w:tcPr>
            <w:tcW w:w="600"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计量  单位</w:t>
            </w:r>
          </w:p>
        </w:tc>
        <w:tc>
          <w:tcPr>
            <w:tcW w:w="686"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数量</w:t>
            </w:r>
          </w:p>
        </w:tc>
        <w:tc>
          <w:tcPr>
            <w:tcW w:w="850"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单价</w:t>
            </w:r>
          </w:p>
        </w:tc>
        <w:tc>
          <w:tcPr>
            <w:tcW w:w="7712" w:type="dxa"/>
            <w:gridSpan w:val="8"/>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政府采购金额（当年</w:t>
            </w:r>
            <w:r>
              <w:rPr>
                <w:rFonts w:hint="eastAsia" w:ascii="方正书宋_GBK" w:hAnsi="Calibri" w:eastAsia="方正书宋_GBK" w:cs="Times New Roman"/>
                <w:b/>
                <w:lang w:eastAsia="zh-CN"/>
              </w:rPr>
              <w:t>单位</w:t>
            </w:r>
            <w:r>
              <w:rPr>
                <w:rFonts w:ascii="方正书宋_GBK" w:hAnsi="Calibri" w:eastAsia="方正书宋_GBK" w:cs="Times New Roman"/>
                <w:b/>
              </w:rPr>
              <w:t>预算安排资金）</w:t>
            </w:r>
          </w:p>
        </w:tc>
        <w:tc>
          <w:tcPr>
            <w:tcW w:w="964"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202</w:t>
            </w:r>
            <w:r>
              <w:rPr>
                <w:rFonts w:hint="eastAsia" w:ascii="方正书宋_GBK" w:hAnsi="Calibri" w:eastAsia="方正书宋_GBK" w:cs="Times New Roman"/>
                <w:b/>
                <w:lang w:val="en-US" w:eastAsia="zh-CN"/>
              </w:rPr>
              <w:t>2</w:t>
            </w:r>
            <w:r>
              <w:rPr>
                <w:rFonts w:ascii="方正书宋_GBK" w:hAnsi="Calibri" w:eastAsia="方正书宋_GBK" w:cs="Times New Roman"/>
                <w:b/>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7" w:hRule="atLeast"/>
          <w:tblHeader/>
          <w:jc w:val="center"/>
        </w:trPr>
        <w:tc>
          <w:tcPr>
            <w:tcW w:w="1317"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项目名称</w:t>
            </w:r>
          </w:p>
        </w:tc>
        <w:tc>
          <w:tcPr>
            <w:tcW w:w="1260"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预算    资金</w:t>
            </w:r>
          </w:p>
        </w:tc>
        <w:tc>
          <w:tcPr>
            <w:tcW w:w="960" w:type="dxa"/>
            <w:vMerge w:val="continue"/>
          </w:tcPr>
          <w:p>
            <w:pPr>
              <w:spacing w:line="300" w:lineRule="exact"/>
              <w:jc w:val="center"/>
              <w:rPr>
                <w:rFonts w:ascii="方正书宋_GBK" w:hAnsi="Calibri" w:eastAsia="方正书宋_GBK" w:cs="Times New Roman"/>
                <w:b/>
              </w:rPr>
            </w:pPr>
          </w:p>
        </w:tc>
        <w:tc>
          <w:tcPr>
            <w:tcW w:w="1065" w:type="dxa"/>
            <w:vMerge w:val="continue"/>
          </w:tcPr>
          <w:p>
            <w:pPr>
              <w:spacing w:line="300" w:lineRule="exact"/>
              <w:jc w:val="center"/>
              <w:rPr>
                <w:rFonts w:ascii="方正书宋_GBK" w:hAnsi="Calibri" w:eastAsia="方正书宋_GBK" w:cs="Times New Roman"/>
                <w:b/>
              </w:rPr>
            </w:pPr>
          </w:p>
        </w:tc>
        <w:tc>
          <w:tcPr>
            <w:tcW w:w="600" w:type="dxa"/>
            <w:vMerge w:val="continue"/>
          </w:tcPr>
          <w:p>
            <w:pPr>
              <w:spacing w:line="300" w:lineRule="exact"/>
              <w:jc w:val="center"/>
              <w:rPr>
                <w:rFonts w:ascii="方正书宋_GBK" w:hAnsi="Calibri" w:eastAsia="方正书宋_GBK" w:cs="Times New Roman"/>
                <w:b/>
              </w:rPr>
            </w:pPr>
          </w:p>
        </w:tc>
        <w:tc>
          <w:tcPr>
            <w:tcW w:w="686" w:type="dxa"/>
            <w:vMerge w:val="continue"/>
          </w:tcPr>
          <w:p>
            <w:pPr>
              <w:spacing w:line="300" w:lineRule="exact"/>
              <w:jc w:val="center"/>
              <w:rPr>
                <w:rFonts w:ascii="方正书宋_GBK" w:hAnsi="Calibri" w:eastAsia="方正书宋_GBK" w:cs="Times New Roman"/>
                <w:b/>
              </w:rPr>
            </w:pPr>
          </w:p>
        </w:tc>
        <w:tc>
          <w:tcPr>
            <w:tcW w:w="850" w:type="dxa"/>
            <w:vMerge w:val="continue"/>
          </w:tcPr>
          <w:p>
            <w:pPr>
              <w:spacing w:line="300" w:lineRule="exact"/>
              <w:jc w:val="center"/>
              <w:rPr>
                <w:rFonts w:ascii="方正书宋_GBK" w:hAnsi="Calibri" w:eastAsia="方正书宋_GBK" w:cs="Times New Roman"/>
                <w:b/>
              </w:rPr>
            </w:pP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合计</w:t>
            </w:r>
          </w:p>
        </w:tc>
        <w:tc>
          <w:tcPr>
            <w:tcW w:w="1085"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一般公共预算拨款</w:t>
            </w:r>
          </w:p>
        </w:tc>
        <w:tc>
          <w:tcPr>
            <w:tcW w:w="930"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基金预算拨款</w:t>
            </w:r>
          </w:p>
        </w:tc>
        <w:tc>
          <w:tcPr>
            <w:tcW w:w="945"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国有资本经营预算拨款</w:t>
            </w:r>
          </w:p>
        </w:tc>
        <w:tc>
          <w:tcPr>
            <w:tcW w:w="896"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财政专户核拨</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单位    资金</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财政拨    款结转</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非财政    拨款结    转结余</w:t>
            </w:r>
          </w:p>
        </w:tc>
        <w:tc>
          <w:tcPr>
            <w:tcW w:w="964" w:type="dxa"/>
            <w:vMerge w:val="continue"/>
          </w:tcPr>
          <w:p>
            <w:pPr>
              <w:spacing w:line="300" w:lineRule="exact"/>
              <w:jc w:val="center"/>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17" w:type="dxa"/>
            <w:vAlign w:val="center"/>
          </w:tcPr>
          <w:p>
            <w:pPr>
              <w:pStyle w:val="18"/>
              <w:spacing w:line="584" w:lineRule="exact"/>
              <w:jc w:val="center"/>
              <w:rPr>
                <w:sz w:val="18"/>
                <w:szCs w:val="18"/>
              </w:rPr>
            </w:pPr>
            <w:r>
              <w:rPr>
                <w:sz w:val="18"/>
                <w:szCs w:val="18"/>
              </w:rPr>
              <w:t>合  计</w:t>
            </w:r>
          </w:p>
        </w:tc>
        <w:tc>
          <w:tcPr>
            <w:tcW w:w="1260" w:type="dxa"/>
            <w:vAlign w:val="center"/>
          </w:tcPr>
          <w:p>
            <w:pPr>
              <w:spacing w:line="300" w:lineRule="exact"/>
              <w:jc w:val="center"/>
              <w:rPr>
                <w:sz w:val="18"/>
                <w:szCs w:val="18"/>
              </w:rPr>
            </w:pPr>
            <w:r>
              <w:rPr>
                <w:rFonts w:hint="eastAsia" w:ascii="宋体" w:hAnsi="宋体" w:eastAsia="宋体" w:cs="宋体"/>
                <w:b w:val="0"/>
                <w:bCs/>
                <w:sz w:val="18"/>
                <w:szCs w:val="18"/>
                <w:lang w:val="en-US" w:eastAsia="zh-CN"/>
              </w:rPr>
              <w:t>591.0863</w:t>
            </w:r>
          </w:p>
        </w:tc>
        <w:tc>
          <w:tcPr>
            <w:tcW w:w="960" w:type="dxa"/>
            <w:vAlign w:val="center"/>
          </w:tcPr>
          <w:p>
            <w:pPr>
              <w:spacing w:line="300" w:lineRule="exact"/>
              <w:jc w:val="center"/>
              <w:rPr>
                <w:sz w:val="18"/>
                <w:szCs w:val="18"/>
              </w:rPr>
            </w:pPr>
          </w:p>
        </w:tc>
        <w:tc>
          <w:tcPr>
            <w:tcW w:w="1065" w:type="dxa"/>
            <w:vAlign w:val="center"/>
          </w:tcPr>
          <w:p>
            <w:pPr>
              <w:spacing w:line="300" w:lineRule="exact"/>
              <w:jc w:val="center"/>
              <w:rPr>
                <w:sz w:val="18"/>
                <w:szCs w:val="18"/>
              </w:rPr>
            </w:pPr>
          </w:p>
        </w:tc>
        <w:tc>
          <w:tcPr>
            <w:tcW w:w="600" w:type="dxa"/>
            <w:vAlign w:val="center"/>
          </w:tcPr>
          <w:p>
            <w:pPr>
              <w:spacing w:line="300" w:lineRule="exact"/>
              <w:jc w:val="center"/>
              <w:rPr>
                <w:sz w:val="18"/>
                <w:szCs w:val="18"/>
              </w:rPr>
            </w:pPr>
          </w:p>
        </w:tc>
        <w:tc>
          <w:tcPr>
            <w:tcW w:w="686" w:type="dxa"/>
            <w:vAlign w:val="center"/>
          </w:tcPr>
          <w:p>
            <w:pPr>
              <w:spacing w:line="300" w:lineRule="exact"/>
              <w:jc w:val="center"/>
              <w:rPr>
                <w:sz w:val="18"/>
                <w:szCs w:val="18"/>
              </w:rPr>
            </w:pPr>
          </w:p>
        </w:tc>
        <w:tc>
          <w:tcPr>
            <w:tcW w:w="850" w:type="dxa"/>
            <w:vAlign w:val="center"/>
          </w:tcPr>
          <w:p>
            <w:pPr>
              <w:spacing w:line="300" w:lineRule="exact"/>
              <w:jc w:val="center"/>
              <w:rPr>
                <w:sz w:val="18"/>
                <w:szCs w:val="18"/>
              </w:rPr>
            </w:pPr>
            <w:r>
              <w:rPr>
                <w:rFonts w:hint="eastAsia" w:ascii="宋体" w:hAnsi="宋体" w:eastAsia="宋体" w:cs="宋体"/>
                <w:b w:val="0"/>
                <w:bCs/>
                <w:sz w:val="18"/>
                <w:szCs w:val="18"/>
                <w:lang w:val="en-US" w:eastAsia="zh-CN"/>
              </w:rPr>
              <w:t>510.376</w:t>
            </w:r>
          </w:p>
        </w:tc>
        <w:tc>
          <w:tcPr>
            <w:tcW w:w="964" w:type="dxa"/>
            <w:vAlign w:val="center"/>
          </w:tcPr>
          <w:p>
            <w:pPr>
              <w:spacing w:line="300" w:lineRule="exact"/>
              <w:jc w:val="center"/>
              <w:rPr>
                <w:sz w:val="18"/>
                <w:szCs w:val="18"/>
              </w:rPr>
            </w:pPr>
            <w:r>
              <w:rPr>
                <w:rFonts w:hint="eastAsia" w:ascii="宋体" w:hAnsi="宋体" w:eastAsia="宋体" w:cs="宋体"/>
                <w:b w:val="0"/>
                <w:bCs/>
                <w:sz w:val="18"/>
                <w:szCs w:val="18"/>
                <w:lang w:val="en-US" w:eastAsia="zh-CN"/>
              </w:rPr>
              <w:t>510.376</w:t>
            </w:r>
          </w:p>
        </w:tc>
        <w:tc>
          <w:tcPr>
            <w:tcW w:w="1085" w:type="dxa"/>
            <w:vAlign w:val="center"/>
          </w:tcPr>
          <w:p>
            <w:pPr>
              <w:spacing w:line="300" w:lineRule="exact"/>
              <w:jc w:val="center"/>
              <w:rPr>
                <w:sz w:val="18"/>
                <w:szCs w:val="18"/>
              </w:rPr>
            </w:pPr>
            <w:r>
              <w:rPr>
                <w:rFonts w:hint="eastAsia" w:ascii="宋体" w:hAnsi="宋体" w:eastAsia="宋体" w:cs="宋体"/>
                <w:b w:val="0"/>
                <w:bCs/>
                <w:sz w:val="18"/>
                <w:szCs w:val="18"/>
                <w:lang w:val="en-US" w:eastAsia="zh-CN"/>
              </w:rPr>
              <w:t>510.376</w:t>
            </w:r>
          </w:p>
        </w:tc>
        <w:tc>
          <w:tcPr>
            <w:tcW w:w="930" w:type="dxa"/>
            <w:vAlign w:val="center"/>
          </w:tcPr>
          <w:p>
            <w:pPr>
              <w:pStyle w:val="19"/>
              <w:spacing w:line="584" w:lineRule="exact"/>
              <w:jc w:val="center"/>
              <w:rPr>
                <w:sz w:val="18"/>
                <w:szCs w:val="18"/>
              </w:rPr>
            </w:pPr>
          </w:p>
        </w:tc>
        <w:tc>
          <w:tcPr>
            <w:tcW w:w="945" w:type="dxa"/>
            <w:vAlign w:val="center"/>
          </w:tcPr>
          <w:p>
            <w:pPr>
              <w:pStyle w:val="19"/>
              <w:spacing w:line="584" w:lineRule="exact"/>
              <w:jc w:val="center"/>
              <w:rPr>
                <w:sz w:val="18"/>
                <w:szCs w:val="18"/>
              </w:rPr>
            </w:pPr>
          </w:p>
        </w:tc>
        <w:tc>
          <w:tcPr>
            <w:tcW w:w="896"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17"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2020年度农村综合改革示范村建设资金</w:t>
            </w:r>
          </w:p>
        </w:tc>
        <w:tc>
          <w:tcPr>
            <w:tcW w:w="126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101.0863</w:t>
            </w:r>
          </w:p>
        </w:tc>
        <w:tc>
          <w:tcPr>
            <w:tcW w:w="96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羊</w:t>
            </w:r>
          </w:p>
        </w:tc>
        <w:tc>
          <w:tcPr>
            <w:tcW w:w="106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A12040106</w:t>
            </w:r>
          </w:p>
        </w:tc>
        <w:tc>
          <w:tcPr>
            <w:tcW w:w="60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批</w:t>
            </w:r>
          </w:p>
        </w:tc>
        <w:tc>
          <w:tcPr>
            <w:tcW w:w="686"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w:t>
            </w:r>
          </w:p>
        </w:tc>
        <w:tc>
          <w:tcPr>
            <w:tcW w:w="85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43</w:t>
            </w:r>
          </w:p>
        </w:tc>
        <w:tc>
          <w:tcPr>
            <w:tcW w:w="964"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43</w:t>
            </w:r>
          </w:p>
        </w:tc>
        <w:tc>
          <w:tcPr>
            <w:tcW w:w="108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43</w:t>
            </w:r>
          </w:p>
        </w:tc>
        <w:tc>
          <w:tcPr>
            <w:tcW w:w="930" w:type="dxa"/>
            <w:vAlign w:val="center"/>
          </w:tcPr>
          <w:p>
            <w:pPr>
              <w:pStyle w:val="19"/>
              <w:spacing w:line="584" w:lineRule="exact"/>
              <w:jc w:val="center"/>
              <w:rPr>
                <w:sz w:val="18"/>
                <w:szCs w:val="18"/>
              </w:rPr>
            </w:pPr>
          </w:p>
        </w:tc>
        <w:tc>
          <w:tcPr>
            <w:tcW w:w="945" w:type="dxa"/>
            <w:vAlign w:val="center"/>
          </w:tcPr>
          <w:p>
            <w:pPr>
              <w:pStyle w:val="19"/>
              <w:spacing w:line="584" w:lineRule="exact"/>
              <w:jc w:val="center"/>
              <w:rPr>
                <w:sz w:val="18"/>
                <w:szCs w:val="18"/>
              </w:rPr>
            </w:pPr>
          </w:p>
        </w:tc>
        <w:tc>
          <w:tcPr>
            <w:tcW w:w="896"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17"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大城县旺村镇西子牙河南村道路工程</w:t>
            </w:r>
          </w:p>
        </w:tc>
        <w:tc>
          <w:tcPr>
            <w:tcW w:w="126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218.51</w:t>
            </w:r>
          </w:p>
        </w:tc>
        <w:tc>
          <w:tcPr>
            <w:tcW w:w="96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公路工程施工</w:t>
            </w:r>
          </w:p>
        </w:tc>
        <w:tc>
          <w:tcPr>
            <w:tcW w:w="106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B0202</w:t>
            </w:r>
          </w:p>
        </w:tc>
        <w:tc>
          <w:tcPr>
            <w:tcW w:w="60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条</w:t>
            </w:r>
          </w:p>
        </w:tc>
        <w:tc>
          <w:tcPr>
            <w:tcW w:w="686"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w:t>
            </w:r>
          </w:p>
        </w:tc>
        <w:tc>
          <w:tcPr>
            <w:tcW w:w="85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199.4532</w:t>
            </w:r>
          </w:p>
        </w:tc>
        <w:tc>
          <w:tcPr>
            <w:tcW w:w="964"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199.4532</w:t>
            </w:r>
          </w:p>
        </w:tc>
        <w:tc>
          <w:tcPr>
            <w:tcW w:w="108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199.4532</w:t>
            </w:r>
          </w:p>
        </w:tc>
        <w:tc>
          <w:tcPr>
            <w:tcW w:w="930" w:type="dxa"/>
            <w:vAlign w:val="center"/>
          </w:tcPr>
          <w:p>
            <w:pPr>
              <w:pStyle w:val="19"/>
              <w:spacing w:line="584" w:lineRule="exact"/>
              <w:jc w:val="center"/>
              <w:rPr>
                <w:sz w:val="18"/>
                <w:szCs w:val="18"/>
              </w:rPr>
            </w:pPr>
          </w:p>
        </w:tc>
        <w:tc>
          <w:tcPr>
            <w:tcW w:w="945" w:type="dxa"/>
            <w:vAlign w:val="center"/>
          </w:tcPr>
          <w:p>
            <w:pPr>
              <w:pStyle w:val="19"/>
              <w:spacing w:line="584" w:lineRule="exact"/>
              <w:jc w:val="center"/>
              <w:rPr>
                <w:sz w:val="18"/>
                <w:szCs w:val="18"/>
              </w:rPr>
            </w:pPr>
          </w:p>
        </w:tc>
        <w:tc>
          <w:tcPr>
            <w:tcW w:w="896"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17"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大城县旺村镇西万灯村道路工程</w:t>
            </w:r>
          </w:p>
        </w:tc>
        <w:tc>
          <w:tcPr>
            <w:tcW w:w="126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199.69</w:t>
            </w:r>
          </w:p>
        </w:tc>
        <w:tc>
          <w:tcPr>
            <w:tcW w:w="96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公路工程施工</w:t>
            </w:r>
          </w:p>
        </w:tc>
        <w:tc>
          <w:tcPr>
            <w:tcW w:w="106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B0202</w:t>
            </w:r>
          </w:p>
        </w:tc>
        <w:tc>
          <w:tcPr>
            <w:tcW w:w="60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条</w:t>
            </w:r>
          </w:p>
        </w:tc>
        <w:tc>
          <w:tcPr>
            <w:tcW w:w="686"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w:t>
            </w:r>
          </w:p>
        </w:tc>
        <w:tc>
          <w:tcPr>
            <w:tcW w:w="85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197.5607</w:t>
            </w:r>
          </w:p>
        </w:tc>
        <w:tc>
          <w:tcPr>
            <w:tcW w:w="964"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197.5607</w:t>
            </w:r>
          </w:p>
        </w:tc>
        <w:tc>
          <w:tcPr>
            <w:tcW w:w="108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197.5607</w:t>
            </w:r>
          </w:p>
        </w:tc>
        <w:tc>
          <w:tcPr>
            <w:tcW w:w="930" w:type="dxa"/>
            <w:vAlign w:val="center"/>
          </w:tcPr>
          <w:p>
            <w:pPr>
              <w:pStyle w:val="19"/>
              <w:spacing w:line="584" w:lineRule="exact"/>
              <w:jc w:val="center"/>
              <w:rPr>
                <w:sz w:val="18"/>
                <w:szCs w:val="18"/>
              </w:rPr>
            </w:pPr>
          </w:p>
        </w:tc>
        <w:tc>
          <w:tcPr>
            <w:tcW w:w="945" w:type="dxa"/>
            <w:vAlign w:val="center"/>
          </w:tcPr>
          <w:p>
            <w:pPr>
              <w:pStyle w:val="19"/>
              <w:spacing w:line="584" w:lineRule="exact"/>
              <w:jc w:val="center"/>
              <w:rPr>
                <w:sz w:val="18"/>
                <w:szCs w:val="18"/>
              </w:rPr>
            </w:pPr>
          </w:p>
        </w:tc>
        <w:tc>
          <w:tcPr>
            <w:tcW w:w="896"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c>
          <w:tcPr>
            <w:tcW w:w="964" w:type="dxa"/>
            <w:vAlign w:val="center"/>
          </w:tcPr>
          <w:p>
            <w:pPr>
              <w:pStyle w:val="19"/>
              <w:spacing w:line="584" w:lineRule="exact"/>
              <w:jc w:val="cente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17"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大城县旺村镇东臧庄村道路工程</w:t>
            </w:r>
          </w:p>
        </w:tc>
        <w:tc>
          <w:tcPr>
            <w:tcW w:w="126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71.8</w:t>
            </w:r>
          </w:p>
        </w:tc>
        <w:tc>
          <w:tcPr>
            <w:tcW w:w="96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公路工程施工</w:t>
            </w:r>
          </w:p>
        </w:tc>
        <w:tc>
          <w:tcPr>
            <w:tcW w:w="106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B0202</w:t>
            </w:r>
          </w:p>
        </w:tc>
        <w:tc>
          <w:tcPr>
            <w:tcW w:w="600" w:type="dxa"/>
            <w:vAlign w:val="center"/>
          </w:tcPr>
          <w:p>
            <w:pPr>
              <w:spacing w:line="300" w:lineRule="exact"/>
              <w:jc w:val="center"/>
              <w:rPr>
                <w:sz w:val="18"/>
                <w:szCs w:val="18"/>
              </w:rPr>
            </w:pPr>
            <w:r>
              <w:rPr>
                <w:rFonts w:hint="eastAsia" w:ascii="宋体" w:hAnsi="宋体" w:eastAsia="宋体" w:cs="宋体"/>
                <w:b w:val="0"/>
                <w:bCs w:val="0"/>
                <w:sz w:val="18"/>
                <w:szCs w:val="18"/>
                <w:lang w:eastAsia="zh-CN"/>
              </w:rPr>
              <w:t>条</w:t>
            </w:r>
          </w:p>
        </w:tc>
        <w:tc>
          <w:tcPr>
            <w:tcW w:w="686"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1</w:t>
            </w:r>
          </w:p>
        </w:tc>
        <w:tc>
          <w:tcPr>
            <w:tcW w:w="850"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70.3621</w:t>
            </w:r>
          </w:p>
        </w:tc>
        <w:tc>
          <w:tcPr>
            <w:tcW w:w="964"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70.3621</w:t>
            </w:r>
          </w:p>
        </w:tc>
        <w:tc>
          <w:tcPr>
            <w:tcW w:w="1085" w:type="dxa"/>
            <w:vAlign w:val="center"/>
          </w:tcPr>
          <w:p>
            <w:pPr>
              <w:spacing w:line="300" w:lineRule="exact"/>
              <w:jc w:val="center"/>
              <w:rPr>
                <w:sz w:val="18"/>
                <w:szCs w:val="18"/>
              </w:rPr>
            </w:pPr>
            <w:r>
              <w:rPr>
                <w:rFonts w:hint="eastAsia" w:ascii="宋体" w:hAnsi="宋体" w:eastAsia="宋体" w:cs="宋体"/>
                <w:b w:val="0"/>
                <w:bCs w:val="0"/>
                <w:sz w:val="18"/>
                <w:szCs w:val="18"/>
                <w:lang w:val="en-US" w:eastAsia="zh-CN"/>
              </w:rPr>
              <w:t>70.3621</w:t>
            </w:r>
          </w:p>
        </w:tc>
        <w:tc>
          <w:tcPr>
            <w:tcW w:w="930" w:type="dxa"/>
            <w:vAlign w:val="center"/>
          </w:tcPr>
          <w:p>
            <w:pPr>
              <w:pStyle w:val="20"/>
              <w:spacing w:line="584" w:lineRule="exact"/>
              <w:jc w:val="center"/>
              <w:rPr>
                <w:sz w:val="18"/>
                <w:szCs w:val="18"/>
              </w:rPr>
            </w:pPr>
          </w:p>
        </w:tc>
        <w:tc>
          <w:tcPr>
            <w:tcW w:w="945" w:type="dxa"/>
            <w:vAlign w:val="center"/>
          </w:tcPr>
          <w:p>
            <w:pPr>
              <w:pStyle w:val="20"/>
              <w:spacing w:line="584" w:lineRule="exact"/>
              <w:jc w:val="center"/>
              <w:rPr>
                <w:sz w:val="18"/>
                <w:szCs w:val="18"/>
              </w:rPr>
            </w:pPr>
          </w:p>
        </w:tc>
        <w:tc>
          <w:tcPr>
            <w:tcW w:w="896" w:type="dxa"/>
            <w:vAlign w:val="center"/>
          </w:tcPr>
          <w:p>
            <w:pPr>
              <w:pStyle w:val="20"/>
              <w:spacing w:line="584" w:lineRule="exact"/>
              <w:jc w:val="center"/>
              <w:rPr>
                <w:sz w:val="18"/>
                <w:szCs w:val="18"/>
              </w:rPr>
            </w:pPr>
          </w:p>
        </w:tc>
        <w:tc>
          <w:tcPr>
            <w:tcW w:w="964" w:type="dxa"/>
            <w:vAlign w:val="center"/>
          </w:tcPr>
          <w:p>
            <w:pPr>
              <w:pStyle w:val="20"/>
              <w:spacing w:line="584" w:lineRule="exact"/>
              <w:jc w:val="center"/>
              <w:rPr>
                <w:sz w:val="18"/>
                <w:szCs w:val="18"/>
              </w:rPr>
            </w:pPr>
          </w:p>
        </w:tc>
        <w:tc>
          <w:tcPr>
            <w:tcW w:w="964" w:type="dxa"/>
            <w:vAlign w:val="center"/>
          </w:tcPr>
          <w:p>
            <w:pPr>
              <w:pStyle w:val="20"/>
              <w:spacing w:line="584" w:lineRule="exact"/>
              <w:jc w:val="center"/>
              <w:rPr>
                <w:sz w:val="18"/>
                <w:szCs w:val="18"/>
              </w:rPr>
            </w:pPr>
          </w:p>
        </w:tc>
        <w:tc>
          <w:tcPr>
            <w:tcW w:w="964" w:type="dxa"/>
            <w:vAlign w:val="center"/>
          </w:tcPr>
          <w:p>
            <w:pPr>
              <w:pStyle w:val="20"/>
              <w:spacing w:line="584" w:lineRule="exact"/>
              <w:jc w:val="center"/>
              <w:rPr>
                <w:sz w:val="18"/>
                <w:szCs w:val="18"/>
              </w:rPr>
            </w:pPr>
          </w:p>
        </w:tc>
        <w:tc>
          <w:tcPr>
            <w:tcW w:w="964" w:type="dxa"/>
            <w:vAlign w:val="center"/>
          </w:tcPr>
          <w:p>
            <w:pPr>
              <w:pStyle w:val="20"/>
              <w:spacing w:line="584" w:lineRule="exact"/>
              <w:jc w:val="center"/>
              <w:rPr>
                <w:sz w:val="18"/>
                <w:szCs w:val="18"/>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大城县旺村镇人民政府本级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309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大城县旺村镇人民政府本级</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8000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98.35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069DD"/>
    <w:multiLevelType w:val="singleLevel"/>
    <w:tmpl w:val="C4C069D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JmZTA2MmQyMjk2ZDMzNzhhMjc5MWY4M2E5NjY3ZjgifQ=="/>
  </w:docVars>
  <w:rsids>
    <w:rsidRoot w:val="00D347CC"/>
    <w:rsid w:val="004A54AA"/>
    <w:rsid w:val="007E2EF7"/>
    <w:rsid w:val="00B80935"/>
    <w:rsid w:val="00D347CC"/>
    <w:rsid w:val="01282E62"/>
    <w:rsid w:val="02732F88"/>
    <w:rsid w:val="03822EDD"/>
    <w:rsid w:val="040C25C7"/>
    <w:rsid w:val="06750C6D"/>
    <w:rsid w:val="07C531B9"/>
    <w:rsid w:val="08B97B9F"/>
    <w:rsid w:val="08C4285E"/>
    <w:rsid w:val="08D06EDC"/>
    <w:rsid w:val="08DF64FD"/>
    <w:rsid w:val="0B675FD5"/>
    <w:rsid w:val="0BBA41DD"/>
    <w:rsid w:val="0C560E46"/>
    <w:rsid w:val="0C7E7DDA"/>
    <w:rsid w:val="0D027890"/>
    <w:rsid w:val="0ECA7307"/>
    <w:rsid w:val="0EEC3025"/>
    <w:rsid w:val="103E7DBD"/>
    <w:rsid w:val="10495E1E"/>
    <w:rsid w:val="10CB5F41"/>
    <w:rsid w:val="11FD23FD"/>
    <w:rsid w:val="12DD60B8"/>
    <w:rsid w:val="12E806A4"/>
    <w:rsid w:val="13F76DF0"/>
    <w:rsid w:val="14DC5FE6"/>
    <w:rsid w:val="15C947BC"/>
    <w:rsid w:val="164D554B"/>
    <w:rsid w:val="170240B9"/>
    <w:rsid w:val="170738B3"/>
    <w:rsid w:val="172D48D7"/>
    <w:rsid w:val="19DE0CFA"/>
    <w:rsid w:val="19F92346"/>
    <w:rsid w:val="1B3172C6"/>
    <w:rsid w:val="1BD86532"/>
    <w:rsid w:val="1DB57D5A"/>
    <w:rsid w:val="1E184A1B"/>
    <w:rsid w:val="1F724E52"/>
    <w:rsid w:val="1F726B5D"/>
    <w:rsid w:val="201605FE"/>
    <w:rsid w:val="20A42459"/>
    <w:rsid w:val="22BE4F7D"/>
    <w:rsid w:val="23C363C4"/>
    <w:rsid w:val="261576AE"/>
    <w:rsid w:val="283C0132"/>
    <w:rsid w:val="28534A72"/>
    <w:rsid w:val="29302182"/>
    <w:rsid w:val="294F4B81"/>
    <w:rsid w:val="2A4C1FD2"/>
    <w:rsid w:val="2A6F54DA"/>
    <w:rsid w:val="2B6E249F"/>
    <w:rsid w:val="2BBF5E5B"/>
    <w:rsid w:val="2BDA6560"/>
    <w:rsid w:val="2CFC0CB3"/>
    <w:rsid w:val="2D002092"/>
    <w:rsid w:val="2D1423D0"/>
    <w:rsid w:val="2E2C33A9"/>
    <w:rsid w:val="2FEF5C5B"/>
    <w:rsid w:val="30103857"/>
    <w:rsid w:val="30751371"/>
    <w:rsid w:val="307F3F9D"/>
    <w:rsid w:val="30EB518F"/>
    <w:rsid w:val="31DD340F"/>
    <w:rsid w:val="32867865"/>
    <w:rsid w:val="33044C2E"/>
    <w:rsid w:val="33557238"/>
    <w:rsid w:val="35FD7B19"/>
    <w:rsid w:val="36463E1A"/>
    <w:rsid w:val="368C4D1E"/>
    <w:rsid w:val="374809C3"/>
    <w:rsid w:val="375D490D"/>
    <w:rsid w:val="37EF41BB"/>
    <w:rsid w:val="387C7322"/>
    <w:rsid w:val="3A6B16A6"/>
    <w:rsid w:val="3BD7566A"/>
    <w:rsid w:val="3C017F2B"/>
    <w:rsid w:val="3CFE449C"/>
    <w:rsid w:val="3D9848F1"/>
    <w:rsid w:val="3E486128"/>
    <w:rsid w:val="3EAF3A77"/>
    <w:rsid w:val="3EBD15E5"/>
    <w:rsid w:val="3F1636C3"/>
    <w:rsid w:val="3F667D51"/>
    <w:rsid w:val="3F8A033F"/>
    <w:rsid w:val="410C599B"/>
    <w:rsid w:val="411A2C84"/>
    <w:rsid w:val="41963977"/>
    <w:rsid w:val="41A729E4"/>
    <w:rsid w:val="42AC47E3"/>
    <w:rsid w:val="440D24BD"/>
    <w:rsid w:val="44112D07"/>
    <w:rsid w:val="4435582D"/>
    <w:rsid w:val="445D0580"/>
    <w:rsid w:val="446F07FE"/>
    <w:rsid w:val="44705C7F"/>
    <w:rsid w:val="451A4597"/>
    <w:rsid w:val="45B66480"/>
    <w:rsid w:val="45D073D5"/>
    <w:rsid w:val="46E71798"/>
    <w:rsid w:val="477F4FF7"/>
    <w:rsid w:val="49757894"/>
    <w:rsid w:val="49B643C4"/>
    <w:rsid w:val="4AA448D5"/>
    <w:rsid w:val="4B2A7960"/>
    <w:rsid w:val="4B956A9B"/>
    <w:rsid w:val="4BD96800"/>
    <w:rsid w:val="4BE01E83"/>
    <w:rsid w:val="4C4179AC"/>
    <w:rsid w:val="4CC052CA"/>
    <w:rsid w:val="4D50664E"/>
    <w:rsid w:val="4DE4323A"/>
    <w:rsid w:val="4F406D33"/>
    <w:rsid w:val="4F6512F6"/>
    <w:rsid w:val="4FC275AB"/>
    <w:rsid w:val="4FC33EC8"/>
    <w:rsid w:val="50BE474B"/>
    <w:rsid w:val="51683A12"/>
    <w:rsid w:val="527545F1"/>
    <w:rsid w:val="54882B71"/>
    <w:rsid w:val="54907CC0"/>
    <w:rsid w:val="54D16921"/>
    <w:rsid w:val="550954E4"/>
    <w:rsid w:val="550E49F8"/>
    <w:rsid w:val="552A65AD"/>
    <w:rsid w:val="554027C6"/>
    <w:rsid w:val="55580CDE"/>
    <w:rsid w:val="55E73D2F"/>
    <w:rsid w:val="56881EF5"/>
    <w:rsid w:val="57231F8B"/>
    <w:rsid w:val="581572CB"/>
    <w:rsid w:val="585A4825"/>
    <w:rsid w:val="58C440C3"/>
    <w:rsid w:val="5A007A17"/>
    <w:rsid w:val="5A117F04"/>
    <w:rsid w:val="5A70032F"/>
    <w:rsid w:val="5B4B6263"/>
    <w:rsid w:val="5B5B04D5"/>
    <w:rsid w:val="5B641C06"/>
    <w:rsid w:val="5C785C38"/>
    <w:rsid w:val="5CE038CE"/>
    <w:rsid w:val="5CE84AF5"/>
    <w:rsid w:val="5D331AE8"/>
    <w:rsid w:val="5D622EBA"/>
    <w:rsid w:val="5DD97E61"/>
    <w:rsid w:val="5E4F2952"/>
    <w:rsid w:val="5ECA07B0"/>
    <w:rsid w:val="5ED31507"/>
    <w:rsid w:val="5EE522DB"/>
    <w:rsid w:val="5F776A62"/>
    <w:rsid w:val="600D75AD"/>
    <w:rsid w:val="60107EBF"/>
    <w:rsid w:val="605C52F1"/>
    <w:rsid w:val="611A0FF5"/>
    <w:rsid w:val="62AD6C9E"/>
    <w:rsid w:val="63331D51"/>
    <w:rsid w:val="65372FA6"/>
    <w:rsid w:val="657F3E5C"/>
    <w:rsid w:val="66F2052A"/>
    <w:rsid w:val="68405C93"/>
    <w:rsid w:val="68511335"/>
    <w:rsid w:val="68861AD6"/>
    <w:rsid w:val="68F04556"/>
    <w:rsid w:val="69BB70A1"/>
    <w:rsid w:val="69FF08E8"/>
    <w:rsid w:val="6A4D4413"/>
    <w:rsid w:val="6AB92B1E"/>
    <w:rsid w:val="6AC5539F"/>
    <w:rsid w:val="6AF03812"/>
    <w:rsid w:val="6B8005EE"/>
    <w:rsid w:val="6BC442D3"/>
    <w:rsid w:val="6BC95AF1"/>
    <w:rsid w:val="6C4E5FF7"/>
    <w:rsid w:val="6CCE4615"/>
    <w:rsid w:val="6D0D4676"/>
    <w:rsid w:val="6DB7784C"/>
    <w:rsid w:val="6DD06906"/>
    <w:rsid w:val="6E8623AB"/>
    <w:rsid w:val="6ED412E3"/>
    <w:rsid w:val="6F011A46"/>
    <w:rsid w:val="6F4860FB"/>
    <w:rsid w:val="72D059B7"/>
    <w:rsid w:val="73F52C26"/>
    <w:rsid w:val="740D3A22"/>
    <w:rsid w:val="74573DAD"/>
    <w:rsid w:val="758A2D08"/>
    <w:rsid w:val="76273C44"/>
    <w:rsid w:val="765468FF"/>
    <w:rsid w:val="77646B28"/>
    <w:rsid w:val="78C637C1"/>
    <w:rsid w:val="799A53CF"/>
    <w:rsid w:val="79DE1E27"/>
    <w:rsid w:val="7A411B9B"/>
    <w:rsid w:val="7B6639B1"/>
    <w:rsid w:val="7B9A7966"/>
    <w:rsid w:val="7BD3025A"/>
    <w:rsid w:val="7BEE6EAE"/>
    <w:rsid w:val="7C4A7E13"/>
    <w:rsid w:val="7CAB144A"/>
    <w:rsid w:val="7D1254BC"/>
    <w:rsid w:val="7FAB0E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autoRedefine/>
    <w:qFormat/>
    <w:uiPriority w:val="0"/>
    <w:pPr>
      <w:widowControl/>
      <w:autoSpaceDE w:val="0"/>
      <w:autoSpaceDN w:val="0"/>
      <w:ind w:firstLine="420"/>
      <w:jc w:val="left"/>
    </w:pPr>
    <w:rPr>
      <w:rFonts w:ascii="微软雅黑" w:hAnsi="微软雅黑" w:eastAsia="微软雅黑" w:cs="微软雅黑"/>
      <w:kern w:val="0"/>
      <w:sz w:val="20"/>
      <w:szCs w:val="20"/>
      <w:lang w:val="zh-CN" w:bidi="zh-CN"/>
    </w:rPr>
  </w:style>
  <w:style w:type="character" w:customStyle="1" w:styleId="14">
    <w:name w:val="font11"/>
    <w:basedOn w:val="10"/>
    <w:autoRedefine/>
    <w:qFormat/>
    <w:uiPriority w:val="0"/>
    <w:rPr>
      <w:rFonts w:hint="eastAsia" w:ascii="宋体" w:hAnsi="宋体" w:eastAsia="宋体" w:cs="宋体"/>
      <w:color w:val="000000"/>
      <w:sz w:val="22"/>
      <w:szCs w:val="22"/>
      <w:u w:val="none"/>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21"/>
    <w:basedOn w:val="10"/>
    <w:autoRedefine/>
    <w:qFormat/>
    <w:uiPriority w:val="0"/>
    <w:rPr>
      <w:rFonts w:hint="eastAsia" w:ascii="宋体" w:hAnsi="宋体" w:eastAsia="宋体" w:cs="宋体"/>
      <w:color w:val="000000"/>
      <w:sz w:val="22"/>
      <w:szCs w:val="22"/>
      <w:u w:val="none"/>
    </w:rPr>
  </w:style>
  <w:style w:type="character" w:customStyle="1" w:styleId="17">
    <w:name w:val="font01"/>
    <w:basedOn w:val="10"/>
    <w:qFormat/>
    <w:uiPriority w:val="0"/>
    <w:rPr>
      <w:rFonts w:hint="eastAsia" w:ascii="宋体" w:hAnsi="宋体" w:eastAsia="宋体" w:cs="宋体"/>
      <w:color w:val="000000"/>
      <w:sz w:val="22"/>
      <w:szCs w:val="22"/>
      <w:u w:val="none"/>
    </w:rPr>
  </w:style>
  <w:style w:type="paragraph" w:customStyle="1" w:styleId="18">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15376</Words>
  <Characters>16866</Characters>
  <Lines>23</Lines>
  <Paragraphs>6</Paragraphs>
  <TotalTime>4</TotalTime>
  <ScaleCrop>false</ScaleCrop>
  <LinksUpToDate>false</LinksUpToDate>
  <CharactersWithSpaces>16895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2018-01-30T06:12:00Z</cp:lastPrinted>
  <dcterms:modified xsi:type="dcterms:W3CDTF">2024-05-21T02:40:56Z</dcterms:modified>
  <dc:title>大城县旺村镇人民政府2022年部门预算信息公开情况说明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DE48C6A2DE684B0485271BAA2A4BCC15</vt:lpwstr>
  </property>
</Properties>
</file>