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仿宋_GB2312" w:hAnsi="Times New Roman" w:eastAsia="仿宋_GB2312" w:cs="Times New Roman"/>
          <w:sz w:val="44"/>
          <w:szCs w:val="44"/>
        </w:rPr>
      </w:pPr>
      <w:r>
        <w:rPr>
          <w:rFonts w:hint="eastAsia" w:ascii="仿宋_GB2312" w:hAnsi="Times New Roman" w:eastAsia="仿宋_GB2312" w:cs="Times New Roman"/>
          <w:sz w:val="44"/>
          <w:szCs w:val="44"/>
        </w:rPr>
        <w:t>大城县臧屯镇人民政府</w:t>
      </w:r>
      <w:r>
        <w:rPr>
          <w:rFonts w:ascii="仿宋_GB2312" w:hAnsi="Times New Roman" w:eastAsia="仿宋_GB2312" w:cs="Times New Roman"/>
          <w:sz w:val="44"/>
          <w:szCs w:val="44"/>
        </w:rPr>
        <w:t>2022</w:t>
      </w:r>
      <w:r>
        <w:rPr>
          <w:rFonts w:hint="eastAsia" w:ascii="仿宋_GB2312" w:hAnsi="Times New Roman" w:eastAsia="仿宋_GB2312" w:cs="Times New Roman"/>
          <w:sz w:val="44"/>
          <w:szCs w:val="44"/>
        </w:rPr>
        <w:t>年预算信息公开情况说明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按照《中华人民共和国预算法》、《中华人民共和国预算法实施条例》、《地方预决算公开操作规程》和《河北省省级预算公开办法》规定，现将大城县臧屯镇人民政府</w:t>
      </w: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年部门预算公开如下：</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一、部门职责及机构设置情况</w:t>
      </w:r>
    </w:p>
    <w:p>
      <w:pPr>
        <w:widowControl/>
        <w:spacing w:line="360" w:lineRule="atLeas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部门职责：</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olor w:val="000000"/>
          <w:sz w:val="32"/>
          <w:szCs w:val="32"/>
        </w:rPr>
        <w:t>臧屯镇人民政府部门构成为人大事务，党委事务，财政事务，政府事务，计划生育，农业事务，水利事务，文化事务，广播事务共九个部门。职责情况概况如下：</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olor w:val="000000"/>
          <w:sz w:val="32"/>
          <w:szCs w:val="32"/>
        </w:rPr>
        <w:t>人大事务：</w:t>
      </w:r>
      <w:r>
        <w:rPr>
          <w:rFonts w:hint="eastAsia" w:ascii="仿宋_GB2312" w:hAnsi="宋体" w:eastAsia="仿宋_GB2312" w:cs="宋体"/>
          <w:color w:val="000000"/>
          <w:kern w:val="0"/>
          <w:sz w:val="32"/>
          <w:szCs w:val="32"/>
        </w:rPr>
        <w:t>对政府进行监督，镇人民代表大会会议的筹备、会务工作，承担人大换届选举，对政府的目标责任书、述职报告的督办工作，</w:t>
      </w:r>
      <w:r>
        <w:rPr>
          <w:rFonts w:hint="eastAsia" w:ascii="仿宋_GB2312" w:hAnsi="宋体" w:eastAsia="仿宋_GB2312" w:cs="宋体"/>
          <w:color w:val="000000"/>
          <w:kern w:val="0"/>
          <w:sz w:val="32"/>
          <w:szCs w:val="32"/>
          <w:lang w:eastAsia="zh-CN"/>
        </w:rPr>
        <w:t>人大常委会机关</w:t>
      </w:r>
      <w:r>
        <w:rPr>
          <w:rFonts w:hint="eastAsia" w:ascii="仿宋_GB2312" w:hAnsi="宋体" w:eastAsia="仿宋_GB2312" w:cs="宋体"/>
          <w:color w:val="000000"/>
          <w:kern w:val="0"/>
          <w:sz w:val="32"/>
          <w:szCs w:val="32"/>
        </w:rPr>
        <w:t>日常管理事务。</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党委事务：负责贯彻执行党的路线、方针、政策和上级党委及本级党代会（党员大会）的决议。领导镇政权机关和群团组织，支持和保证这些机关、组织依照国家法律法规及各自章程充分行使职权。</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政府事务：按照有关要求，做好机关办公服务工作。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财政事务：管理财务管理</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，保障各项工作正常运行。</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计划生育：提供各类计划生育技术服务，建立利益导向机制，开展出生人口性别比治理以及流动人口计划生育管理等各项工作。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农业事务：按照可持续发展和建设生态农业的要求，保护农业资源，改善和保护农村环境。</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水利事务：组织实施全乡水资源管理和水土保持相关工作。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文化事务：管理和指导全镇文化建设，推进文化发展环境能力建设，提供公共文化服务、文化艺术资源建设和文化艺术生产。</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广播事务：指导全镇广播电影电视和信息网络视听节目服务科技工作，负责监管全镇广播电影电视节目传输、监测和安全播出，指导督查全镇广播电影电视安全运行工作</w:t>
      </w:r>
    </w:p>
    <w:p>
      <w:pPr>
        <w:spacing w:line="584" w:lineRule="exact"/>
        <w:ind w:firstLine="643" w:firstLineChars="200"/>
        <w:rPr>
          <w:rFonts w:ascii="仿宋_GB2312" w:hAnsi="Times New Roman" w:eastAsia="仿宋_GB2312" w:cs="Times New Roman"/>
          <w:b/>
          <w:sz w:val="32"/>
          <w:szCs w:val="32"/>
        </w:rPr>
      </w:pPr>
    </w:p>
    <w:p>
      <w:pPr>
        <w:spacing w:line="584" w:lineRule="exact"/>
        <w:ind w:firstLine="643" w:firstLineChars="200"/>
        <w:rPr>
          <w:rFonts w:ascii="仿宋_GB2312" w:hAnsi="Times New Roman" w:eastAsia="仿宋_GB2312" w:cs="Times New Roman"/>
          <w:b/>
          <w:sz w:val="32"/>
          <w:szCs w:val="32"/>
        </w:rPr>
      </w:pPr>
    </w:p>
    <w:p>
      <w:pPr>
        <w:spacing w:line="584" w:lineRule="exact"/>
        <w:ind w:firstLine="643" w:firstLineChars="200"/>
        <w:rPr>
          <w:rFonts w:ascii="仿宋_GB2312" w:hAnsi="Times New Roman" w:eastAsia="仿宋_GB2312" w:cs="Times New Roman"/>
          <w:b/>
          <w:sz w:val="32"/>
          <w:szCs w:val="32"/>
        </w:rPr>
      </w:pPr>
    </w:p>
    <w:p>
      <w:pPr>
        <w:spacing w:line="584" w:lineRule="exact"/>
        <w:ind w:firstLine="643" w:firstLineChars="200"/>
        <w:rPr>
          <w:rFonts w:ascii="仿宋_GB2312" w:hAnsi="Times New Roman" w:eastAsia="仿宋_GB2312" w:cs="Times New Roman"/>
          <w:b/>
          <w:sz w:val="32"/>
          <w:szCs w:val="32"/>
        </w:rPr>
      </w:pPr>
    </w:p>
    <w:p>
      <w:pPr>
        <w:spacing w:line="584" w:lineRule="exact"/>
        <w:ind w:firstLine="643" w:firstLineChars="200"/>
        <w:rPr>
          <w:rFonts w:ascii="仿宋_GB2312" w:hAnsi="Times New Roman" w:eastAsia="仿宋_GB2312" w:cs="Times New Roman"/>
          <w:b/>
          <w:sz w:val="32"/>
          <w:szCs w:val="32"/>
        </w:rPr>
      </w:pPr>
    </w:p>
    <w:p>
      <w:pPr>
        <w:spacing w:line="584" w:lineRule="exact"/>
        <w:ind w:firstLine="643" w:firstLineChars="200"/>
        <w:rPr>
          <w:rFonts w:ascii="仿宋_GB2312" w:hAnsi="Times New Roman" w:eastAsia="仿宋_GB2312" w:cs="Times New Roman"/>
          <w:b/>
          <w:sz w:val="32"/>
          <w:szCs w:val="32"/>
        </w:rPr>
      </w:pPr>
    </w:p>
    <w:p>
      <w:pPr>
        <w:spacing w:line="584" w:lineRule="exact"/>
        <w:ind w:firstLine="643" w:firstLineChars="200"/>
        <w:rPr>
          <w:rFonts w:ascii="仿宋_GB2312" w:hAnsi="Times New Roman" w:eastAsia="仿宋_GB2312" w:cs="Times New Roman"/>
          <w:b/>
          <w:sz w:val="32"/>
          <w:szCs w:val="32"/>
        </w:rPr>
      </w:pPr>
    </w:p>
    <w:p>
      <w:pPr>
        <w:autoSpaceDE w:val="0"/>
        <w:autoSpaceDN w:val="0"/>
        <w:adjustRightInd w:val="0"/>
        <w:spacing w:line="584" w:lineRule="exact"/>
        <w:ind w:firstLine="630" w:firstLineChars="196"/>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机构设置：</w:t>
      </w:r>
    </w:p>
    <w:p>
      <w:pPr>
        <w:spacing w:line="584" w:lineRule="exact"/>
        <w:jc w:val="center"/>
        <w:outlineLvl w:val="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单位名称</w:t>
            </w:r>
          </w:p>
        </w:tc>
        <w:tc>
          <w:tcPr>
            <w:tcW w:w="1134" w:type="dxa"/>
            <w:vMerge w:val="restart"/>
            <w:vAlign w:val="center"/>
          </w:tcPr>
          <w:p>
            <w:pPr>
              <w:spacing w:line="584"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单位性质</w:t>
            </w:r>
          </w:p>
        </w:tc>
        <w:tc>
          <w:tcPr>
            <w:tcW w:w="1276" w:type="dxa"/>
            <w:vMerge w:val="restart"/>
            <w:vAlign w:val="center"/>
          </w:tcPr>
          <w:p>
            <w:pPr>
              <w:spacing w:line="584"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单位规格</w:t>
            </w:r>
          </w:p>
        </w:tc>
        <w:tc>
          <w:tcPr>
            <w:tcW w:w="2902" w:type="dxa"/>
            <w:vMerge w:val="restart"/>
            <w:vAlign w:val="center"/>
          </w:tcPr>
          <w:p>
            <w:pPr>
              <w:spacing w:line="584"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rPr>
                <w:rFonts w:ascii="仿宋_GB2312" w:eastAsia="仿宋_GB2312"/>
              </w:rPr>
            </w:pPr>
          </w:p>
        </w:tc>
        <w:tc>
          <w:tcPr>
            <w:tcW w:w="1134" w:type="dxa"/>
            <w:vMerge w:val="continue"/>
            <w:vAlign w:val="center"/>
          </w:tcPr>
          <w:p>
            <w:pPr>
              <w:rPr>
                <w:rFonts w:ascii="仿宋_GB2312" w:eastAsia="仿宋_GB2312"/>
              </w:rPr>
            </w:pPr>
          </w:p>
        </w:tc>
        <w:tc>
          <w:tcPr>
            <w:tcW w:w="1276" w:type="dxa"/>
            <w:vMerge w:val="continue"/>
            <w:vAlign w:val="center"/>
          </w:tcPr>
          <w:p>
            <w:pPr>
              <w:rPr>
                <w:rFonts w:ascii="仿宋_GB2312" w:eastAsia="仿宋_GB2312"/>
              </w:rPr>
            </w:pPr>
          </w:p>
        </w:tc>
        <w:tc>
          <w:tcPr>
            <w:tcW w:w="2902" w:type="dxa"/>
            <w:vMerge w:val="continue"/>
            <w:vAlign w:val="center"/>
          </w:tcPr>
          <w:p>
            <w:pP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Times New Roman" w:eastAsia="仿宋_GB2312" w:cs="Times New Roman"/>
                <w:szCs w:val="24"/>
              </w:rPr>
            </w:pPr>
            <w:r>
              <w:rPr>
                <w:rFonts w:hint="eastAsia" w:ascii="仿宋_GB2312" w:eastAsia="仿宋_GB2312"/>
              </w:rPr>
              <w:t>臧屯镇政府</w:t>
            </w:r>
          </w:p>
        </w:tc>
        <w:tc>
          <w:tcPr>
            <w:tcW w:w="1134" w:type="dxa"/>
            <w:vAlign w:val="center"/>
          </w:tcPr>
          <w:p>
            <w:pPr>
              <w:spacing w:line="300" w:lineRule="exact"/>
              <w:jc w:val="center"/>
              <w:rPr>
                <w:rFonts w:ascii="仿宋_GB2312" w:hAnsi="Times New Roman" w:eastAsia="仿宋_GB2312" w:cs="Times New Roman"/>
                <w:szCs w:val="24"/>
              </w:rPr>
            </w:pPr>
            <w:r>
              <w:rPr>
                <w:rFonts w:hint="eastAsia" w:ascii="仿宋_GB2312" w:eastAsia="仿宋_GB2312"/>
              </w:rPr>
              <w:t>行政</w:t>
            </w:r>
          </w:p>
        </w:tc>
        <w:tc>
          <w:tcPr>
            <w:tcW w:w="1276" w:type="dxa"/>
            <w:vAlign w:val="center"/>
          </w:tcPr>
          <w:p>
            <w:pPr>
              <w:spacing w:line="300" w:lineRule="exact"/>
              <w:jc w:val="center"/>
              <w:rPr>
                <w:rFonts w:ascii="仿宋_GB2312" w:hAnsi="Times New Roman" w:eastAsia="仿宋_GB2312" w:cs="Times New Roman"/>
                <w:szCs w:val="24"/>
              </w:rPr>
            </w:pPr>
            <w:r>
              <w:rPr>
                <w:rFonts w:hint="eastAsia" w:ascii="仿宋_GB2312" w:eastAsia="仿宋_GB2312"/>
              </w:rPr>
              <w:t>正科级</w:t>
            </w:r>
          </w:p>
        </w:tc>
        <w:tc>
          <w:tcPr>
            <w:tcW w:w="2902" w:type="dxa"/>
            <w:vAlign w:val="center"/>
          </w:tcPr>
          <w:p>
            <w:pPr>
              <w:spacing w:line="300" w:lineRule="exact"/>
              <w:jc w:val="center"/>
              <w:rPr>
                <w:rFonts w:ascii="仿宋_GB2312" w:hAnsi="Times New Roman" w:eastAsia="仿宋_GB2312" w:cs="Times New Roman"/>
                <w:szCs w:val="24"/>
              </w:rPr>
            </w:pPr>
            <w:r>
              <w:rPr>
                <w:rFonts w:hint="eastAsia" w:ascii="仿宋_GB2312" w:eastAsia="仿宋_GB2312"/>
              </w:rPr>
              <w:t>财政拨款</w:t>
            </w:r>
          </w:p>
        </w:tc>
      </w:tr>
    </w:tbl>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二、部门预算安排的总体情况</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按照预算管理有关规定，目前我县部门预算的编制实行综合预算制度，即全部收入和支出都反映在预算中。大城县臧屯镇机关及所属事业单位的收支包含在部门预算中。</w:t>
      </w:r>
    </w:p>
    <w:p>
      <w:pPr>
        <w:spacing w:line="584" w:lineRule="exact"/>
        <w:ind w:firstLine="640"/>
        <w:rPr>
          <w:rFonts w:ascii="仿宋_GB2312" w:hAnsi="Times New Roman" w:eastAsia="仿宋_GB2312" w:cs="Times New Roman"/>
          <w:b/>
          <w:sz w:val="32"/>
          <w:szCs w:val="32"/>
        </w:rPr>
      </w:pP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rPr>
        <w:t>、收入说明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w:t>
      </w: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年预算收入</w:t>
      </w:r>
      <w:r>
        <w:rPr>
          <w:rFonts w:ascii="仿宋_GB2312" w:hAnsi="Times New Roman" w:eastAsia="仿宋_GB2312" w:cs="Times New Roman"/>
          <w:sz w:val="32"/>
          <w:szCs w:val="32"/>
        </w:rPr>
        <w:t>1576.03</w:t>
      </w:r>
      <w:r>
        <w:rPr>
          <w:rFonts w:hint="eastAsia" w:ascii="仿宋_GB2312" w:hAnsi="Times New Roman" w:eastAsia="仿宋_GB2312" w:cs="Times New Roman"/>
          <w:sz w:val="32"/>
          <w:szCs w:val="32"/>
        </w:rPr>
        <w:t>万元，其中：一般公共预算收入</w:t>
      </w:r>
      <w:r>
        <w:rPr>
          <w:rFonts w:ascii="仿宋_GB2312" w:hAnsi="Times New Roman" w:eastAsia="仿宋_GB2312" w:cs="Times New Roman"/>
          <w:sz w:val="32"/>
          <w:szCs w:val="32"/>
        </w:rPr>
        <w:t>1353.03</w:t>
      </w:r>
      <w:r>
        <w:rPr>
          <w:rFonts w:hint="eastAsia" w:ascii="仿宋_GB2312" w:hAnsi="Times New Roman" w:eastAsia="仿宋_GB2312" w:cs="Times New Roman"/>
          <w:sz w:val="32"/>
          <w:szCs w:val="32"/>
        </w:rPr>
        <w:t>万元，基金预算收入</w:t>
      </w:r>
      <w:r>
        <w:rPr>
          <w:rFonts w:ascii="仿宋_GB2312" w:hAnsi="Times New Roman" w:eastAsia="仿宋_GB2312" w:cs="Times New Roman"/>
          <w:sz w:val="32"/>
          <w:szCs w:val="32"/>
        </w:rPr>
        <w:t>223</w:t>
      </w:r>
      <w:r>
        <w:rPr>
          <w:rFonts w:hint="eastAsia" w:ascii="仿宋_GB2312" w:hAnsi="Times New Roman" w:eastAsia="仿宋_GB2312" w:cs="Times New Roman"/>
          <w:sz w:val="32"/>
          <w:szCs w:val="32"/>
        </w:rPr>
        <w:t>万元，财政专户核拨收入</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万元，其他来源收入</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万元，上年结转</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w:t>
      </w:r>
    </w:p>
    <w:p>
      <w:pPr>
        <w:spacing w:line="584" w:lineRule="exact"/>
        <w:ind w:firstLine="640"/>
        <w:rPr>
          <w:rFonts w:ascii="仿宋_GB2312" w:hAnsi="Times New Roman" w:eastAsia="仿宋_GB2312" w:cs="Times New Roman"/>
          <w:b/>
          <w:sz w:val="32"/>
          <w:szCs w:val="32"/>
        </w:rPr>
      </w:pP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收支预算总表支出栏、基本支出表、项目支出表按经济分类和支出功能分类科目编制，反映我镇</w:t>
      </w: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年度部门预算中支出预算的总体情况。</w:t>
      </w: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年支出预算</w:t>
      </w:r>
      <w:r>
        <w:rPr>
          <w:rFonts w:ascii="仿宋_GB2312" w:hAnsi="Times New Roman" w:eastAsia="仿宋_GB2312" w:cs="Times New Roman"/>
          <w:sz w:val="32"/>
          <w:szCs w:val="32"/>
        </w:rPr>
        <w:t>1576.03</w:t>
      </w:r>
      <w:r>
        <w:rPr>
          <w:rFonts w:hint="eastAsia" w:ascii="仿宋_GB2312" w:hAnsi="Times New Roman" w:eastAsia="仿宋_GB2312" w:cs="Times New Roman"/>
          <w:sz w:val="32"/>
          <w:szCs w:val="32"/>
        </w:rPr>
        <w:t>万元，其中基本支出</w:t>
      </w:r>
      <w:r>
        <w:rPr>
          <w:rFonts w:ascii="仿宋_GB2312" w:hAnsi="Times New Roman" w:eastAsia="仿宋_GB2312" w:cs="Times New Roman"/>
          <w:sz w:val="32"/>
          <w:szCs w:val="32"/>
        </w:rPr>
        <w:t>1307.85</w:t>
      </w:r>
      <w:r>
        <w:rPr>
          <w:rFonts w:hint="eastAsia" w:ascii="仿宋_GB2312" w:hAnsi="Times New Roman" w:eastAsia="仿宋_GB2312" w:cs="Times New Roman"/>
          <w:sz w:val="32"/>
          <w:szCs w:val="32"/>
        </w:rPr>
        <w:t>万元，包括人员类项目经费</w:t>
      </w:r>
      <w:r>
        <w:rPr>
          <w:rFonts w:ascii="仿宋_GB2312" w:hAnsi="Times New Roman" w:eastAsia="仿宋_GB2312" w:cs="Times New Roman"/>
          <w:sz w:val="32"/>
          <w:szCs w:val="32"/>
        </w:rPr>
        <w:t>1191.68</w:t>
      </w:r>
      <w:r>
        <w:rPr>
          <w:rFonts w:hint="eastAsia" w:ascii="仿宋_GB2312" w:hAnsi="Times New Roman" w:eastAsia="仿宋_GB2312" w:cs="Times New Roman"/>
          <w:sz w:val="32"/>
          <w:szCs w:val="32"/>
        </w:rPr>
        <w:t>万元和运转类公用项目经费</w:t>
      </w:r>
      <w:r>
        <w:rPr>
          <w:rFonts w:ascii="仿宋_GB2312" w:hAnsi="Times New Roman" w:eastAsia="仿宋_GB2312" w:cs="Times New Roman"/>
          <w:sz w:val="32"/>
          <w:szCs w:val="32"/>
        </w:rPr>
        <w:t>116.17</w:t>
      </w:r>
      <w:r>
        <w:rPr>
          <w:rFonts w:hint="eastAsia" w:ascii="仿宋_GB2312" w:hAnsi="Times New Roman" w:eastAsia="仿宋_GB2312" w:cs="Times New Roman"/>
          <w:sz w:val="32"/>
          <w:szCs w:val="32"/>
        </w:rPr>
        <w:t>万元；运转类其他及特定目标类项目支出</w:t>
      </w:r>
      <w:r>
        <w:rPr>
          <w:rFonts w:ascii="仿宋_GB2312" w:hAnsi="Times New Roman" w:eastAsia="仿宋_GB2312" w:cs="Times New Roman"/>
          <w:sz w:val="32"/>
          <w:szCs w:val="32"/>
        </w:rPr>
        <w:t>268.18</w:t>
      </w:r>
      <w:r>
        <w:rPr>
          <w:rFonts w:hint="eastAsia" w:ascii="仿宋_GB2312" w:hAnsi="Times New Roman" w:eastAsia="仿宋_GB2312" w:cs="Times New Roman"/>
          <w:sz w:val="32"/>
          <w:szCs w:val="32"/>
        </w:rPr>
        <w:t>万元，包括本级支出，主要为安监经费、妇联基层组织建设经费、基层党建带团建经费、建档立卡贫困户扶贫帮扶专项经费、农村环境整治经费、土地整理经费、退役军人服务站工作经费、信访维稳经费等项目支出。</w:t>
      </w:r>
    </w:p>
    <w:p>
      <w:pPr>
        <w:spacing w:line="584" w:lineRule="exact"/>
        <w:ind w:firstLine="640"/>
        <w:rPr>
          <w:rFonts w:ascii="仿宋_GB2312" w:hAnsi="Times New Roman" w:eastAsia="仿宋_GB2312" w:cs="Times New Roman"/>
          <w:b/>
          <w:sz w:val="32"/>
          <w:szCs w:val="32"/>
        </w:rPr>
      </w:pP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、比上年增减情况</w:t>
      </w:r>
    </w:p>
    <w:p>
      <w:pPr>
        <w:rPr>
          <w:rFonts w:ascii="仿宋_GB2312" w:eastAsia="仿宋_GB2312"/>
        </w:rPr>
      </w:pP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年预算收支安排</w:t>
      </w:r>
      <w:r>
        <w:rPr>
          <w:rFonts w:ascii="仿宋_GB2312" w:hAnsi="Times New Roman" w:eastAsia="仿宋_GB2312" w:cs="Times New Roman"/>
          <w:sz w:val="32"/>
          <w:szCs w:val="32"/>
        </w:rPr>
        <w:t>1576.03</w:t>
      </w:r>
      <w:r>
        <w:rPr>
          <w:rFonts w:hint="eastAsia" w:ascii="仿宋_GB2312" w:hAnsi="Times New Roman" w:eastAsia="仿宋_GB2312" w:cs="Times New Roman"/>
          <w:sz w:val="32"/>
          <w:szCs w:val="32"/>
        </w:rPr>
        <w:t>万元，较</w:t>
      </w:r>
      <w:r>
        <w:rPr>
          <w:rFonts w:ascii="仿宋_GB2312" w:hAnsi="Times New Roman" w:eastAsia="仿宋_GB2312" w:cs="Times New Roman"/>
          <w:sz w:val="32"/>
          <w:szCs w:val="32"/>
        </w:rPr>
        <w:t>2021</w:t>
      </w:r>
      <w:r>
        <w:rPr>
          <w:rFonts w:hint="eastAsia" w:ascii="仿宋_GB2312" w:hAnsi="Times New Roman" w:eastAsia="仿宋_GB2312" w:cs="Times New Roman"/>
          <w:sz w:val="32"/>
          <w:szCs w:val="32"/>
        </w:rPr>
        <w:t>年预算减少</w:t>
      </w:r>
      <w:r>
        <w:rPr>
          <w:rFonts w:ascii="仿宋_GB2312" w:hAnsi="Times New Roman" w:eastAsia="仿宋_GB2312" w:cs="Times New Roman"/>
          <w:sz w:val="32"/>
          <w:szCs w:val="32"/>
        </w:rPr>
        <w:t>170.14</w:t>
      </w:r>
      <w:r>
        <w:rPr>
          <w:rFonts w:hint="eastAsia" w:ascii="仿宋_GB2312" w:hAnsi="Times New Roman" w:eastAsia="仿宋_GB2312" w:cs="Times New Roman"/>
          <w:sz w:val="32"/>
          <w:szCs w:val="32"/>
        </w:rPr>
        <w:t>万元，其中：基本支出减少</w:t>
      </w:r>
      <w:r>
        <w:rPr>
          <w:rFonts w:ascii="仿宋_GB2312" w:hAnsi="Times New Roman" w:eastAsia="仿宋_GB2312" w:cs="Times New Roman"/>
          <w:sz w:val="32"/>
          <w:szCs w:val="32"/>
        </w:rPr>
        <w:t>31.25</w:t>
      </w:r>
      <w:r>
        <w:rPr>
          <w:rFonts w:hint="eastAsia" w:ascii="仿宋_GB2312" w:hAnsi="Times New Roman" w:eastAsia="仿宋_GB2312" w:cs="Times New Roman"/>
          <w:sz w:val="32"/>
          <w:szCs w:val="32"/>
        </w:rPr>
        <w:t>万元，主要为人员调动较大，人员类经费等基本支出；项目支出减少</w:t>
      </w:r>
      <w:r>
        <w:rPr>
          <w:rFonts w:ascii="仿宋_GB2312" w:hAnsi="Times New Roman" w:eastAsia="仿宋_GB2312" w:cs="Times New Roman"/>
          <w:sz w:val="32"/>
          <w:szCs w:val="32"/>
        </w:rPr>
        <w:t>138.89</w:t>
      </w:r>
      <w:r>
        <w:rPr>
          <w:rFonts w:hint="eastAsia" w:ascii="仿宋_GB2312" w:hAnsi="Times New Roman" w:eastAsia="仿宋_GB2312" w:cs="Times New Roman"/>
          <w:sz w:val="32"/>
          <w:szCs w:val="32"/>
        </w:rPr>
        <w:t>万元，主要为土地整理及环境治理等项目支出。</w:t>
      </w:r>
    </w:p>
    <w:p>
      <w:pPr>
        <w:autoSpaceDE w:val="0"/>
        <w:autoSpaceDN w:val="0"/>
        <w:adjustRightInd w:val="0"/>
        <w:spacing w:line="584" w:lineRule="exact"/>
        <w:ind w:left="198"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三、机关运行经费安排情况</w:t>
      </w:r>
    </w:p>
    <w:p>
      <w:pPr>
        <w:autoSpaceDE w:val="0"/>
        <w:autoSpaceDN w:val="0"/>
        <w:adjustRightInd w:val="0"/>
        <w:spacing w:line="584" w:lineRule="exact"/>
        <w:ind w:left="198" w:firstLine="640" w:firstLineChars="200"/>
        <w:jc w:val="left"/>
        <w:rPr>
          <w:rFonts w:ascii="仿宋_GB2312" w:hAnsi="宋体" w:eastAsia="仿宋_GB2312" w:cs="Times New Roman"/>
          <w:sz w:val="32"/>
          <w:szCs w:val="32"/>
        </w:rPr>
      </w:pPr>
      <w:r>
        <w:rPr>
          <w:rFonts w:ascii="仿宋_GB2312" w:hAnsi="宋体" w:eastAsia="仿宋_GB2312" w:cs="Times New Roman"/>
          <w:sz w:val="32"/>
          <w:szCs w:val="32"/>
        </w:rPr>
        <w:t>2022</w:t>
      </w:r>
      <w:r>
        <w:rPr>
          <w:rFonts w:hint="eastAsia" w:ascii="仿宋_GB2312" w:hAnsi="宋体" w:eastAsia="仿宋_GB2312" w:cs="Times New Roman"/>
          <w:sz w:val="32"/>
          <w:szCs w:val="32"/>
        </w:rPr>
        <w:t>年，我镇机关运行经费共计安排</w:t>
      </w:r>
      <w:r>
        <w:rPr>
          <w:rFonts w:ascii="仿宋_GB2312" w:hAnsi="宋体" w:eastAsia="仿宋_GB2312" w:cs="Times New Roman"/>
          <w:sz w:val="32"/>
          <w:szCs w:val="32"/>
        </w:rPr>
        <w:t>116.17</w:t>
      </w:r>
      <w:r>
        <w:rPr>
          <w:rFonts w:hint="eastAsia" w:ascii="仿宋_GB2312" w:hAnsi="宋体" w:eastAsia="仿宋_GB2312" w:cs="Times New Roman"/>
          <w:sz w:val="32"/>
          <w:szCs w:val="32"/>
        </w:rPr>
        <w:t>万元，主要用于镇政府办公区的日常维修、办公用房水电费、办公用房取暖费、办公用房物业管理费等日常运行支出。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_GB2312" w:hAnsi="宋体" w:eastAsia="仿宋_GB2312" w:cs="Times New Roman"/>
          <w:color w:val="FF0000"/>
          <w:sz w:val="32"/>
          <w:szCs w:val="32"/>
        </w:rPr>
      </w:pPr>
      <w:r>
        <w:rPr>
          <w:rFonts w:ascii="仿宋_GB2312" w:hAnsi="宋体" w:eastAsia="仿宋_GB2312" w:cs="Times New Roman"/>
          <w:sz w:val="32"/>
          <w:szCs w:val="32"/>
        </w:rPr>
        <w:t>2022</w:t>
      </w:r>
      <w:r>
        <w:rPr>
          <w:rFonts w:hint="eastAsia" w:ascii="仿宋_GB2312" w:hAnsi="宋体" w:eastAsia="仿宋_GB2312" w:cs="Times New Roman"/>
          <w:sz w:val="32"/>
          <w:szCs w:val="32"/>
        </w:rPr>
        <w:t>年，我镇财政拨款“三公”经费预算安排</w:t>
      </w:r>
      <w:r>
        <w:rPr>
          <w:rFonts w:ascii="仿宋_GB2312" w:hAnsi="宋体" w:eastAsia="仿宋_GB2312" w:cs="Times New Roman"/>
          <w:sz w:val="32"/>
          <w:szCs w:val="32"/>
        </w:rPr>
        <w:t>3</w:t>
      </w:r>
      <w:r>
        <w:rPr>
          <w:rFonts w:hint="eastAsia" w:ascii="仿宋_GB2312" w:hAnsi="宋体" w:eastAsia="仿宋_GB2312" w:cs="Times New Roman"/>
          <w:sz w:val="32"/>
          <w:szCs w:val="32"/>
        </w:rPr>
        <w:t>万元。其中，因公出国（境）费</w:t>
      </w:r>
      <w:r>
        <w:rPr>
          <w:rFonts w:ascii="仿宋_GB2312" w:hAnsi="宋体" w:eastAsia="仿宋_GB2312" w:cs="Times New Roman"/>
          <w:sz w:val="32"/>
          <w:szCs w:val="32"/>
        </w:rPr>
        <w:t>0</w:t>
      </w:r>
      <w:r>
        <w:rPr>
          <w:rFonts w:hint="eastAsia" w:ascii="仿宋_GB2312" w:hAnsi="宋体" w:eastAsia="仿宋_GB2312" w:cs="Times New Roman"/>
          <w:sz w:val="32"/>
          <w:szCs w:val="32"/>
        </w:rPr>
        <w:t>万元；公务用车购置及运维费</w:t>
      </w:r>
      <w:r>
        <w:rPr>
          <w:rFonts w:ascii="仿宋_GB2312" w:hAnsi="宋体" w:eastAsia="仿宋_GB2312" w:cs="Times New Roman"/>
          <w:sz w:val="32"/>
          <w:szCs w:val="32"/>
        </w:rPr>
        <w:t>3</w:t>
      </w:r>
      <w:r>
        <w:rPr>
          <w:rFonts w:hint="eastAsia" w:ascii="仿宋_GB2312" w:hAnsi="宋体" w:eastAsia="仿宋_GB2312" w:cs="Times New Roman"/>
          <w:sz w:val="32"/>
          <w:szCs w:val="32"/>
        </w:rPr>
        <w:t>万元（其中：公务用车购置费为</w:t>
      </w:r>
      <w:r>
        <w:rPr>
          <w:rFonts w:ascii="仿宋_GB2312" w:hAnsi="宋体" w:eastAsia="仿宋_GB2312" w:cs="Times New Roman"/>
          <w:sz w:val="32"/>
          <w:szCs w:val="32"/>
        </w:rPr>
        <w:t>0</w:t>
      </w:r>
      <w:r>
        <w:rPr>
          <w:rFonts w:hint="eastAsia" w:ascii="仿宋_GB2312" w:hAnsi="宋体" w:eastAsia="仿宋_GB2312" w:cs="Times New Roman"/>
          <w:sz w:val="32"/>
          <w:szCs w:val="32"/>
        </w:rPr>
        <w:t>万元，公务用车运维费</w:t>
      </w:r>
      <w:r>
        <w:rPr>
          <w:rFonts w:ascii="仿宋_GB2312" w:hAnsi="宋体" w:eastAsia="仿宋_GB2312" w:cs="Times New Roman"/>
          <w:sz w:val="32"/>
          <w:szCs w:val="32"/>
        </w:rPr>
        <w:t>3</w:t>
      </w:r>
      <w:r>
        <w:rPr>
          <w:rFonts w:hint="eastAsia" w:ascii="仿宋_GB2312" w:hAnsi="宋体" w:eastAsia="仿宋_GB2312" w:cs="Times New Roman"/>
          <w:sz w:val="32"/>
          <w:szCs w:val="32"/>
        </w:rPr>
        <w:t>万元</w:t>
      </w:r>
      <w:r>
        <w:rPr>
          <w:rFonts w:ascii="仿宋_GB2312" w:hAnsi="宋体" w:eastAsia="仿宋_GB2312" w:cs="Times New Roman"/>
          <w:sz w:val="32"/>
          <w:szCs w:val="32"/>
        </w:rPr>
        <w:t>)</w:t>
      </w:r>
      <w:r>
        <w:rPr>
          <w:rFonts w:hint="eastAsia" w:ascii="仿宋_GB2312" w:hAnsi="宋体" w:eastAsia="仿宋_GB2312" w:cs="Times New Roman"/>
          <w:sz w:val="32"/>
          <w:szCs w:val="32"/>
        </w:rPr>
        <w:t>；公务接待费</w:t>
      </w:r>
      <w:r>
        <w:rPr>
          <w:rFonts w:ascii="仿宋_GB2312" w:hAnsi="宋体" w:eastAsia="仿宋_GB2312" w:cs="Times New Roman"/>
          <w:sz w:val="32"/>
          <w:szCs w:val="32"/>
        </w:rPr>
        <w:t>0</w:t>
      </w:r>
      <w:r>
        <w:rPr>
          <w:rFonts w:hint="eastAsia" w:ascii="仿宋_GB2312" w:hAnsi="宋体" w:eastAsia="仿宋_GB2312" w:cs="Times New Roman"/>
          <w:sz w:val="32"/>
          <w:szCs w:val="32"/>
        </w:rPr>
        <w:t>万元。与</w:t>
      </w:r>
      <w:r>
        <w:rPr>
          <w:rFonts w:ascii="仿宋_GB2312" w:hAnsi="宋体" w:eastAsia="仿宋_GB2312" w:cs="Times New Roman"/>
          <w:sz w:val="32"/>
          <w:szCs w:val="32"/>
        </w:rPr>
        <w:t>2021</w:t>
      </w:r>
      <w:r>
        <w:rPr>
          <w:rFonts w:hint="eastAsia" w:ascii="仿宋_GB2312" w:hAnsi="宋体" w:eastAsia="仿宋_GB2312" w:cs="Times New Roman"/>
          <w:sz w:val="32"/>
          <w:szCs w:val="32"/>
        </w:rPr>
        <w:t>年相比持平，无增减变化。</w:t>
      </w:r>
    </w:p>
    <w:p>
      <w:pPr>
        <w:autoSpaceDE w:val="0"/>
        <w:autoSpaceDN w:val="0"/>
        <w:adjustRightInd w:val="0"/>
        <w:spacing w:line="584" w:lineRule="exact"/>
        <w:ind w:left="197" w:leftChars="94"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五、绩效预算信息</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第一部分</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部门整体绩效目标</w:t>
      </w:r>
    </w:p>
    <w:p>
      <w:pPr>
        <w:spacing w:line="584"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（一）总体绩效目标</w:t>
      </w:r>
    </w:p>
    <w:p>
      <w:pPr>
        <w:pStyle w:val="2"/>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年以来，在县委县政府的正确领导下，在广大人民群众的大力支持下，臧屯镇顶住了新冠疫情的严峻压力，各项重点工作稳步推进，国民经济和社会发展不退反进，取得了一定的成绩。</w:t>
      </w:r>
      <w:r>
        <w:rPr>
          <w:rFonts w:ascii="仿宋_GB2312" w:hAnsi="仿宋" w:eastAsia="仿宋_GB2312" w:cs="仿宋"/>
          <w:sz w:val="32"/>
          <w:szCs w:val="32"/>
        </w:rPr>
        <w:t>2022</w:t>
      </w:r>
      <w:r>
        <w:rPr>
          <w:rFonts w:hint="eastAsia" w:ascii="仿宋_GB2312" w:hAnsi="仿宋" w:eastAsia="仿宋_GB2312" w:cs="仿宋"/>
          <w:sz w:val="32"/>
          <w:szCs w:val="32"/>
        </w:rPr>
        <w:t>年，臧屯镇将在今年的基础上，坚持实事求是思想，坚持稳中求进，细致研判、周密部署，持续发力、狠抓落实，进一步夯实基础，提升应对风险、抢抓机遇的能力和水平，推动社会经济发展迈步新台阶。</w:t>
      </w:r>
    </w:p>
    <w:p>
      <w:pPr>
        <w:spacing w:line="584"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（二）分项绩效目标</w:t>
      </w:r>
    </w:p>
    <w:p>
      <w:pPr>
        <w:spacing w:line="600" w:lineRule="exact"/>
        <w:ind w:firstLine="803" w:firstLineChars="250"/>
        <w:rPr>
          <w:rFonts w:ascii="仿宋_GB2312" w:hAnsi="楷体_GB2312" w:eastAsia="仿宋_GB2312" w:cs="楷体_GB2312"/>
          <w:b/>
          <w:bCs/>
          <w:sz w:val="32"/>
          <w:szCs w:val="32"/>
        </w:rPr>
      </w:pPr>
      <w:r>
        <w:rPr>
          <w:rFonts w:ascii="仿宋_GB2312" w:hAnsi="楷体_GB2312" w:eastAsia="仿宋_GB2312" w:cs="楷体_GB2312"/>
          <w:b/>
          <w:bCs/>
          <w:sz w:val="32"/>
          <w:szCs w:val="32"/>
        </w:rPr>
        <w:t>1.</w:t>
      </w:r>
      <w:r>
        <w:rPr>
          <w:rFonts w:hint="eastAsia" w:ascii="仿宋_GB2312" w:hAnsi="楷体_GB2312" w:eastAsia="仿宋_GB2312" w:cs="楷体_GB2312"/>
          <w:b/>
          <w:bCs/>
          <w:sz w:val="32"/>
          <w:szCs w:val="32"/>
        </w:rPr>
        <w:t>坚持党的全面领导，基层党组织建设更加坚强有力</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坚持以点带面，推动基层党建提档升级。</w:t>
      </w:r>
      <w:r>
        <w:rPr>
          <w:rFonts w:hint="eastAsia" w:ascii="仿宋_GB2312" w:hAnsi="仿宋_GB2312" w:eastAsia="仿宋_GB2312" w:cs="仿宋_GB2312"/>
          <w:sz w:val="32"/>
          <w:szCs w:val="32"/>
        </w:rPr>
        <w:t>按照“交通便利、连线成片”原则，将党建工作基础好、阵地优、班子作风硬的基层党组织作为创建对象，重点打造了桑杭、臧庄子</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个党建示范村，形成了沿廊泊路“一纵”和十王堂、臧庄子、王纪庄“一横”两条党建示范带，党建工作进一步上档升级。</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年，臧屯镇荣获</w:t>
      </w:r>
      <w:r>
        <w:rPr>
          <w:rFonts w:hint="eastAsia" w:ascii="仿宋_GB2312" w:hAnsi="楷体_GB2312" w:eastAsia="仿宋_GB2312" w:cs="楷体_GB2312"/>
          <w:b/>
          <w:bCs/>
          <w:sz w:val="32"/>
          <w:szCs w:val="32"/>
        </w:rPr>
        <w:t>“廊坊市先进基层党组织”</w:t>
      </w:r>
      <w:r>
        <w:rPr>
          <w:rFonts w:hint="eastAsia" w:ascii="仿宋_GB2312" w:hAnsi="仿宋_GB2312" w:eastAsia="仿宋_GB2312" w:cs="仿宋_GB2312"/>
          <w:sz w:val="32"/>
          <w:szCs w:val="32"/>
        </w:rPr>
        <w:t>荣誉称号。</w:t>
      </w:r>
      <w:r>
        <w:rPr>
          <w:rFonts w:hint="eastAsia" w:ascii="仿宋_GB2312" w:hAnsi="仿宋_GB2312" w:eastAsia="仿宋_GB2312" w:cs="仿宋_GB2312"/>
          <w:b/>
          <w:bCs/>
          <w:sz w:val="32"/>
          <w:szCs w:val="32"/>
        </w:rPr>
        <w:t>坚持精准施策，持续推进软弱涣散党组织整顿工作。</w:t>
      </w:r>
      <w:r>
        <w:rPr>
          <w:rFonts w:hint="eastAsia" w:ascii="仿宋_GB2312" w:hAnsi="仿宋_GB2312" w:eastAsia="仿宋_GB2312" w:cs="仿宋_GB2312"/>
          <w:sz w:val="32"/>
          <w:szCs w:val="32"/>
        </w:rPr>
        <w:t>将软弱涣散党组织作为基层组织建设的最大“短板”，坚持问题导向，对准薄弱环节攻坚克难，圆满完成田马策、高堤两个后进村转化任务，基层党组织的政治功能和服务功能进一步增强。今年以来，全镇共发展党员</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名，顺利解决三年、两年不发展党员村街问题。</w:t>
      </w:r>
    </w:p>
    <w:p>
      <w:pPr>
        <w:spacing w:line="600" w:lineRule="exact"/>
        <w:ind w:firstLine="643" w:firstLineChars="200"/>
        <w:rPr>
          <w:rFonts w:ascii="仿宋_GB2312" w:hAnsi="楷体_GB2312" w:eastAsia="仿宋_GB2312" w:cs="楷体_GB2312"/>
          <w:b/>
          <w:bCs/>
          <w:sz w:val="32"/>
          <w:szCs w:val="32"/>
        </w:rPr>
      </w:pPr>
      <w:r>
        <w:rPr>
          <w:rFonts w:ascii="仿宋_GB2312" w:hAnsi="楷体_GB2312" w:eastAsia="仿宋_GB2312" w:cs="楷体_GB2312"/>
          <w:b/>
          <w:bCs/>
          <w:sz w:val="32"/>
          <w:szCs w:val="32"/>
        </w:rPr>
        <w:t>2.</w:t>
      </w:r>
      <w:r>
        <w:rPr>
          <w:rFonts w:hint="eastAsia" w:ascii="仿宋_GB2312" w:hAnsi="楷体_GB2312" w:eastAsia="仿宋_GB2312" w:cs="楷体_GB2312"/>
          <w:b/>
          <w:bCs/>
          <w:sz w:val="32"/>
          <w:szCs w:val="32"/>
        </w:rPr>
        <w:t>坚持稳中求进，主要经济指标实现新突破</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财税收入方面，</w:t>
      </w:r>
      <w:r>
        <w:rPr>
          <w:rFonts w:hint="eastAsia" w:ascii="仿宋_GB2312" w:hAnsi="仿宋_GB2312" w:eastAsia="仿宋_GB2312" w:cs="仿宋_GB2312"/>
          <w:sz w:val="32"/>
          <w:szCs w:val="32"/>
        </w:rPr>
        <w:t>全年财税收入目标任务为</w:t>
      </w:r>
      <w:r>
        <w:rPr>
          <w:rFonts w:ascii="仿宋_GB2312" w:hAnsi="仿宋_GB2312" w:eastAsia="仿宋_GB2312" w:cs="仿宋_GB2312"/>
          <w:sz w:val="32"/>
          <w:szCs w:val="32"/>
        </w:rPr>
        <w:t>7632</w:t>
      </w:r>
      <w:r>
        <w:rPr>
          <w:rFonts w:hint="eastAsia" w:ascii="仿宋_GB2312" w:hAnsi="仿宋_GB2312" w:eastAsia="仿宋_GB2312" w:cs="仿宋_GB2312"/>
          <w:sz w:val="32"/>
          <w:szCs w:val="32"/>
        </w:rPr>
        <w:t>万元，截至</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日，累计完成财税收入</w:t>
      </w:r>
      <w:r>
        <w:rPr>
          <w:rFonts w:ascii="仿宋_GB2312" w:hAnsi="仿宋_GB2312" w:eastAsia="仿宋_GB2312" w:cs="仿宋_GB2312"/>
          <w:sz w:val="32"/>
          <w:szCs w:val="32"/>
        </w:rPr>
        <w:t>7500</w:t>
      </w:r>
      <w:r>
        <w:rPr>
          <w:rFonts w:hint="eastAsia" w:ascii="仿宋_GB2312" w:hAnsi="仿宋_GB2312" w:eastAsia="仿宋_GB2312" w:cs="仿宋_GB2312"/>
          <w:sz w:val="32"/>
          <w:szCs w:val="32"/>
        </w:rPr>
        <w:t>万元，完成年初任务的</w:t>
      </w:r>
      <w:r>
        <w:rPr>
          <w:rFonts w:ascii="仿宋_GB2312" w:hAnsi="仿宋_GB2312" w:eastAsia="仿宋_GB2312" w:cs="仿宋_GB2312"/>
          <w:sz w:val="32"/>
          <w:szCs w:val="32"/>
        </w:rPr>
        <w:t>98.3%</w:t>
      </w:r>
      <w:r>
        <w:rPr>
          <w:rFonts w:hint="eastAsia" w:ascii="仿宋_GB2312" w:hAnsi="仿宋_GB2312" w:eastAsia="仿宋_GB2312" w:cs="仿宋_GB2312"/>
          <w:sz w:val="32"/>
          <w:szCs w:val="32"/>
        </w:rPr>
        <w:t>，同比增长</w:t>
      </w:r>
      <w:r>
        <w:rPr>
          <w:rFonts w:ascii="仿宋_GB2312" w:hAnsi="仿宋_GB2312" w:eastAsia="仿宋_GB2312" w:cs="仿宋_GB2312"/>
          <w:sz w:val="32"/>
          <w:szCs w:val="32"/>
        </w:rPr>
        <w:t>8.1%</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固定资产投资方面，</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000000"/>
          <w:kern w:val="0"/>
          <w:sz w:val="32"/>
          <w:szCs w:val="32"/>
        </w:rPr>
        <w:t>累计完成固定资产投资</w:t>
      </w:r>
      <w:r>
        <w:rPr>
          <w:rFonts w:ascii="仿宋_GB2312" w:hAnsi="仿宋_GB2312" w:eastAsia="仿宋_GB2312" w:cs="仿宋_GB2312"/>
          <w:color w:val="000000"/>
          <w:kern w:val="0"/>
          <w:sz w:val="32"/>
          <w:szCs w:val="32"/>
        </w:rPr>
        <w:t>50100</w:t>
      </w:r>
      <w:r>
        <w:rPr>
          <w:rFonts w:hint="eastAsia" w:ascii="仿宋_GB2312" w:hAnsi="仿宋_GB2312" w:eastAsia="仿宋_GB2312" w:cs="仿宋_GB2312"/>
          <w:color w:val="000000"/>
          <w:kern w:val="0"/>
          <w:sz w:val="32"/>
          <w:szCs w:val="32"/>
        </w:rPr>
        <w:t>万元，同比增长</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b/>
          <w:bCs/>
          <w:sz w:val="32"/>
          <w:szCs w:val="32"/>
        </w:rPr>
        <w:t>规上工业产值方面，</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家规上工业企业完成工业产值</w:t>
      </w:r>
      <w:r>
        <w:rPr>
          <w:rFonts w:ascii="仿宋_GB2312" w:hAnsi="仿宋_GB2312" w:eastAsia="仿宋_GB2312" w:cs="仿宋_GB2312"/>
          <w:sz w:val="32"/>
          <w:szCs w:val="32"/>
        </w:rPr>
        <w:t>95437</w:t>
      </w:r>
      <w:r>
        <w:rPr>
          <w:rFonts w:hint="eastAsia" w:ascii="仿宋_GB2312" w:hAnsi="仿宋_GB2312" w:eastAsia="仿宋_GB2312" w:cs="仿宋_GB2312"/>
          <w:sz w:val="32"/>
          <w:szCs w:val="32"/>
        </w:rPr>
        <w:t>万元，同比增长</w:t>
      </w:r>
      <w:r>
        <w:rPr>
          <w:rFonts w:ascii="仿宋_GB2312" w:hAnsi="仿宋_GB2312" w:eastAsia="仿宋_GB2312" w:cs="仿宋_GB2312"/>
          <w:sz w:val="32"/>
          <w:szCs w:val="32"/>
        </w:rPr>
        <w:t>25.4%</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项目建设方面，</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年招引亿元以上项目</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个，总投资额</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亿元，现已全部落地投产。</w:t>
      </w:r>
    </w:p>
    <w:p>
      <w:pPr>
        <w:pStyle w:val="4"/>
        <w:spacing w:line="600" w:lineRule="exact"/>
        <w:ind w:firstLine="643" w:firstLineChars="200"/>
        <w:rPr>
          <w:rFonts w:ascii="仿宋_GB2312" w:hAnsi="楷体_GB2312" w:eastAsia="仿宋_GB2312" w:cs="楷体_GB2312"/>
          <w:b/>
          <w:bCs/>
          <w:sz w:val="32"/>
          <w:szCs w:val="32"/>
        </w:rPr>
      </w:pPr>
      <w:r>
        <w:rPr>
          <w:rFonts w:ascii="仿宋_GB2312" w:hAnsi="楷体_GB2312" w:eastAsia="仿宋_GB2312" w:cs="楷体_GB2312"/>
          <w:b/>
          <w:bCs/>
          <w:sz w:val="32"/>
          <w:szCs w:val="32"/>
        </w:rPr>
        <w:t>3.</w:t>
      </w:r>
      <w:r>
        <w:rPr>
          <w:rFonts w:hint="eastAsia" w:ascii="仿宋_GB2312" w:hAnsi="楷体_GB2312" w:eastAsia="仿宋_GB2312" w:cs="楷体_GB2312"/>
          <w:b/>
          <w:bCs/>
          <w:sz w:val="32"/>
          <w:szCs w:val="32"/>
        </w:rPr>
        <w:t>坚持多点发力，乡村振兴根基不断夯实</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一是着力推进美丽乡村建设。</w:t>
      </w:r>
      <w:r>
        <w:rPr>
          <w:rFonts w:hint="eastAsia" w:ascii="仿宋_GB2312" w:hAnsi="仿宋_GB2312" w:eastAsia="仿宋_GB2312" w:cs="仿宋_GB2312"/>
          <w:sz w:val="32"/>
          <w:szCs w:val="32"/>
        </w:rPr>
        <w:t>将邢庄子、十王堂、桑杭、臧庄子、王纪庄、十里湾等</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个村街作为美丽乡村示范村进行重点打造，累计投入资金</w:t>
      </w:r>
      <w:r>
        <w:rPr>
          <w:rFonts w:ascii="仿宋_GB2312" w:hAnsi="仿宋_GB2312" w:eastAsia="仿宋_GB2312" w:cs="仿宋_GB2312"/>
          <w:sz w:val="32"/>
          <w:szCs w:val="32"/>
        </w:rPr>
        <w:t>350</w:t>
      </w:r>
      <w:r>
        <w:rPr>
          <w:rFonts w:hint="eastAsia" w:ascii="仿宋_GB2312" w:hAnsi="仿宋_GB2312" w:eastAsia="仿宋_GB2312" w:cs="仿宋_GB2312"/>
          <w:sz w:val="32"/>
          <w:szCs w:val="32"/>
        </w:rPr>
        <w:t>余万元，新建高标准公共卫生厕所</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座、粉刷墙面</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万平米，新建游园、广场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处，完成村街绿化植树</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万株，评选美丽庭院</w:t>
      </w:r>
      <w:r>
        <w:rPr>
          <w:rFonts w:ascii="仿宋_GB2312" w:hAnsi="仿宋_GB2312" w:eastAsia="仿宋_GB2312" w:cs="仿宋_GB2312"/>
          <w:sz w:val="32"/>
          <w:szCs w:val="32"/>
        </w:rPr>
        <w:t>750</w:t>
      </w:r>
      <w:r>
        <w:rPr>
          <w:rFonts w:hint="eastAsia" w:ascii="仿宋_GB2312" w:hAnsi="仿宋_GB2312" w:eastAsia="仿宋_GB2312" w:cs="仿宋_GB2312"/>
          <w:sz w:val="32"/>
          <w:szCs w:val="32"/>
        </w:rPr>
        <w:t>个。</w:t>
      </w:r>
      <w:r>
        <w:rPr>
          <w:rFonts w:hint="eastAsia" w:ascii="仿宋_GB2312" w:hAnsi="仿宋_GB2312" w:eastAsia="仿宋_GB2312" w:cs="仿宋_GB2312"/>
          <w:bCs/>
          <w:sz w:val="32"/>
          <w:szCs w:val="32"/>
        </w:rPr>
        <w:t>绿色乡村示范片区已经成型，对周边村街发展起到辐射带动作用，</w:t>
      </w:r>
      <w:r>
        <w:rPr>
          <w:rFonts w:hint="eastAsia" w:ascii="仿宋_GB2312" w:hAnsi="仿宋_GB2312" w:eastAsia="仿宋_GB2312" w:cs="仿宋_GB2312"/>
          <w:sz w:val="32"/>
          <w:szCs w:val="32"/>
        </w:rPr>
        <w:t>示范引领全镇乡村振兴建设全面开花。</w:t>
      </w:r>
      <w:r>
        <w:rPr>
          <w:rFonts w:hint="eastAsia" w:ascii="仿宋_GB2312" w:hAnsi="仿宋_GB2312" w:eastAsia="仿宋_GB2312" w:cs="仿宋_GB2312"/>
          <w:b/>
          <w:bCs/>
          <w:sz w:val="32"/>
          <w:szCs w:val="32"/>
        </w:rPr>
        <w:t>二是持续推进廊泊路改造提升工程。</w:t>
      </w:r>
      <w:r>
        <w:rPr>
          <w:rFonts w:hint="eastAsia" w:ascii="仿宋_GB2312" w:hAnsi="仿宋_GB2312" w:eastAsia="仿宋_GB2312" w:cs="仿宋_GB2312"/>
          <w:sz w:val="32"/>
          <w:szCs w:val="32"/>
        </w:rPr>
        <w:t>累计拆除商业、厂房违建</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3630</w:t>
      </w:r>
      <w:r>
        <w:rPr>
          <w:rFonts w:hint="eastAsia" w:ascii="仿宋_GB2312" w:hAnsi="仿宋_GB2312" w:eastAsia="仿宋_GB2312" w:cs="仿宋_GB2312"/>
          <w:sz w:val="32"/>
          <w:szCs w:val="32"/>
        </w:rPr>
        <w:t>平方米，清理彩钢围挡</w:t>
      </w:r>
      <w:r>
        <w:rPr>
          <w:rFonts w:ascii="仿宋_GB2312" w:hAnsi="仿宋_GB2312" w:eastAsia="仿宋_GB2312" w:cs="仿宋_GB2312"/>
          <w:sz w:val="32"/>
          <w:szCs w:val="32"/>
        </w:rPr>
        <w:t>2565</w:t>
      </w:r>
      <w:r>
        <w:rPr>
          <w:rFonts w:hint="eastAsia" w:ascii="仿宋_GB2312" w:hAnsi="仿宋_GB2312" w:eastAsia="仿宋_GB2312" w:cs="仿宋_GB2312"/>
          <w:sz w:val="32"/>
          <w:szCs w:val="32"/>
        </w:rPr>
        <w:t>米。同时，做好廊泊路干线两侧</w:t>
      </w:r>
      <w:r>
        <w:rPr>
          <w:rFonts w:ascii="仿宋_GB2312" w:hAnsi="仿宋_GB2312" w:eastAsia="仿宋_GB2312" w:cs="仿宋_GB2312"/>
          <w:sz w:val="32"/>
          <w:szCs w:val="32"/>
        </w:rPr>
        <w:t>1580</w:t>
      </w:r>
      <w:r>
        <w:rPr>
          <w:rFonts w:hint="eastAsia" w:ascii="仿宋_GB2312" w:hAnsi="仿宋_GB2312" w:eastAsia="仿宋_GB2312" w:cs="仿宋_GB2312"/>
          <w:sz w:val="32"/>
          <w:szCs w:val="32"/>
        </w:rPr>
        <w:t>亩的绿化和十里湾景观节点的绿化管理，进一步巩固提升对外形象；</w:t>
      </w:r>
      <w:r>
        <w:rPr>
          <w:rFonts w:hint="eastAsia" w:ascii="仿宋_GB2312" w:hAnsi="仿宋_GB2312" w:eastAsia="仿宋_GB2312" w:cs="仿宋_GB2312"/>
          <w:b/>
          <w:bCs/>
          <w:sz w:val="32"/>
          <w:szCs w:val="32"/>
        </w:rPr>
        <w:t>三是深入推进农村户厕改造工程。</w:t>
      </w:r>
      <w:r>
        <w:rPr>
          <w:rFonts w:hint="eastAsia" w:ascii="仿宋_GB2312" w:hAnsi="仿宋_GB2312" w:eastAsia="仿宋_GB2312" w:cs="仿宋_GB2312"/>
          <w:sz w:val="32"/>
          <w:szCs w:val="32"/>
        </w:rPr>
        <w:t>坚持因地制宜、整体推进的工作思路，精心施工，科学管理，全镇农村改厕工作进展顺利。截至目前，臧屯镇累计完成改厕</w:t>
      </w:r>
      <w:r>
        <w:rPr>
          <w:rFonts w:ascii="仿宋_GB2312" w:hAnsi="仿宋_GB2312" w:eastAsia="仿宋_GB2312" w:cs="仿宋_GB2312"/>
          <w:sz w:val="32"/>
          <w:szCs w:val="32"/>
        </w:rPr>
        <w:t>9822</w:t>
      </w:r>
      <w:r>
        <w:rPr>
          <w:rFonts w:hint="eastAsia" w:ascii="仿宋_GB2312" w:hAnsi="仿宋_GB2312" w:eastAsia="仿宋_GB2312" w:cs="仿宋_GB2312"/>
          <w:sz w:val="32"/>
          <w:szCs w:val="32"/>
        </w:rPr>
        <w:t>座，其中，</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年完成改厕任务</w:t>
      </w:r>
      <w:r>
        <w:rPr>
          <w:rFonts w:ascii="仿宋_GB2312" w:hAnsi="仿宋_GB2312" w:eastAsia="仿宋_GB2312" w:cs="仿宋_GB2312"/>
          <w:sz w:val="32"/>
          <w:szCs w:val="32"/>
        </w:rPr>
        <w:t>1426</w:t>
      </w:r>
      <w:r>
        <w:rPr>
          <w:rFonts w:hint="eastAsia" w:ascii="仿宋_GB2312" w:hAnsi="仿宋_GB2312" w:eastAsia="仿宋_GB2312" w:cs="仿宋_GB2312"/>
          <w:sz w:val="32"/>
          <w:szCs w:val="32"/>
        </w:rPr>
        <w:t>座；</w:t>
      </w:r>
      <w:r>
        <w:rPr>
          <w:rFonts w:hint="eastAsia" w:ascii="仿宋_GB2312" w:hAnsi="仿宋_GB2312" w:eastAsia="仿宋_GB2312" w:cs="仿宋_GB2312"/>
          <w:b/>
          <w:bCs/>
          <w:sz w:val="32"/>
          <w:szCs w:val="32"/>
        </w:rPr>
        <w:t>四是加快推进农村路网建设。</w:t>
      </w:r>
      <w:r>
        <w:rPr>
          <w:rFonts w:hint="eastAsia" w:ascii="仿宋_GB2312" w:hAnsi="仿宋_GB2312" w:eastAsia="仿宋_GB2312" w:cs="仿宋_GB2312"/>
          <w:sz w:val="32"/>
          <w:szCs w:val="32"/>
        </w:rPr>
        <w:t>积极与上级部门对接，完成</w:t>
      </w:r>
      <w:r>
        <w:rPr>
          <w:rFonts w:ascii="仿宋_GB2312" w:hAnsi="仿宋_GB2312" w:eastAsia="仿宋_GB2312" w:cs="仿宋_GB2312"/>
          <w:sz w:val="32"/>
          <w:szCs w:val="32"/>
        </w:rPr>
        <w:t>20.675</w:t>
      </w:r>
      <w:r>
        <w:rPr>
          <w:rFonts w:hint="eastAsia" w:ascii="仿宋_GB2312" w:hAnsi="仿宋_GB2312" w:eastAsia="仿宋_GB2312" w:cs="仿宋_GB2312"/>
          <w:sz w:val="32"/>
          <w:szCs w:val="32"/>
        </w:rPr>
        <w:t>公里的农村路网、桥梁开工建设工作，农村路网进一步完善，群众出行更加方便。</w:t>
      </w:r>
      <w:r>
        <w:rPr>
          <w:rFonts w:hint="eastAsia" w:ascii="仿宋_GB2312" w:hAnsi="仿宋_GB2312" w:eastAsia="仿宋_GB2312" w:cs="仿宋_GB2312"/>
          <w:b/>
          <w:bCs/>
          <w:sz w:val="32"/>
          <w:szCs w:val="32"/>
        </w:rPr>
        <w:t>五是大力开展人居环境综合整治</w:t>
      </w:r>
      <w:r>
        <w:rPr>
          <w:rFonts w:hint="eastAsia" w:ascii="仿宋_GB2312" w:hAnsi="仿宋_GB2312" w:eastAsia="仿宋_GB2312" w:cs="仿宋_GB2312"/>
          <w:sz w:val="32"/>
          <w:szCs w:val="32"/>
        </w:rPr>
        <w:t>。带领班子成员和</w:t>
      </w:r>
      <w:r>
        <w:rPr>
          <w:rFonts w:ascii="仿宋_GB2312" w:hAnsi="仿宋_GB2312" w:eastAsia="仿宋_GB2312" w:cs="仿宋_GB2312"/>
          <w:sz w:val="32"/>
          <w:szCs w:val="32"/>
        </w:rPr>
        <w:t>54</w:t>
      </w:r>
      <w:r>
        <w:rPr>
          <w:rFonts w:hint="eastAsia" w:ascii="仿宋_GB2312" w:hAnsi="仿宋_GB2312" w:eastAsia="仿宋_GB2312" w:cs="仿宋_GB2312"/>
          <w:sz w:val="32"/>
          <w:szCs w:val="32"/>
        </w:rPr>
        <w:t>个村街干部到文安县兴隆宫镇观摩学习，借鉴街长制等网格化管理经验，着力提升村街精细化治理水平。</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月份以来，利用两个月的时间对廊泊路沿线村街环境进行了集中整治，目前已打造出两条可观摩的闭环路线，涉及</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个村街。</w:t>
      </w:r>
      <w:r>
        <w:rPr>
          <w:rFonts w:hint="eastAsia" w:ascii="仿宋_GB2312" w:hAnsi="仿宋_GB2312" w:eastAsia="仿宋_GB2312" w:cs="仿宋_GB2312"/>
          <w:b/>
          <w:bCs/>
          <w:sz w:val="32"/>
          <w:szCs w:val="32"/>
        </w:rPr>
        <w:t>六是持续巩固脱贫成果。</w:t>
      </w:r>
      <w:r>
        <w:rPr>
          <w:rFonts w:hint="eastAsia" w:ascii="仿宋_GB2312" w:hAnsi="仿宋_GB2312" w:eastAsia="仿宋_GB2312" w:cs="仿宋_GB2312"/>
          <w:sz w:val="32"/>
          <w:szCs w:val="32"/>
        </w:rPr>
        <w:t>全镇现有脱贫户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132</w:t>
      </w:r>
      <w:r>
        <w:rPr>
          <w:rFonts w:hint="eastAsia" w:ascii="仿宋_GB2312" w:hAnsi="仿宋_GB2312" w:eastAsia="仿宋_GB2312" w:cs="仿宋_GB2312"/>
          <w:sz w:val="32"/>
          <w:szCs w:val="32"/>
        </w:rPr>
        <w:t>人。今年以来，依托省就业扶贫信息管理系统，对全镇脱贫人口进行动态管理，精准摸排贫困劳动力就业培训等情况，实时调整帮扶措施，帮助</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人实现稳定就业。</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年，脱贫户家庭总收入</w:t>
      </w:r>
      <w:r>
        <w:rPr>
          <w:rFonts w:ascii="仿宋_GB2312" w:hAnsi="仿宋_GB2312" w:eastAsia="仿宋_GB2312" w:cs="仿宋_GB2312"/>
          <w:sz w:val="32"/>
          <w:szCs w:val="32"/>
        </w:rPr>
        <w:t>231.6</w:t>
      </w:r>
      <w:r>
        <w:rPr>
          <w:rFonts w:hint="eastAsia" w:ascii="仿宋_GB2312" w:hAnsi="仿宋_GB2312" w:eastAsia="仿宋_GB2312" w:cs="仿宋_GB2312"/>
          <w:sz w:val="32"/>
          <w:szCs w:val="32"/>
        </w:rPr>
        <w:t>万元，年人均收入</w:t>
      </w:r>
      <w:r>
        <w:rPr>
          <w:rFonts w:ascii="仿宋_GB2312" w:hAnsi="仿宋_GB2312" w:eastAsia="仿宋_GB2312" w:cs="仿宋_GB2312"/>
          <w:sz w:val="32"/>
          <w:szCs w:val="32"/>
        </w:rPr>
        <w:t>17545</w:t>
      </w:r>
      <w:r>
        <w:rPr>
          <w:rFonts w:hint="eastAsia" w:ascii="仿宋_GB2312" w:hAnsi="仿宋_GB2312" w:eastAsia="仿宋_GB2312" w:cs="仿宋_GB2312"/>
          <w:sz w:val="32"/>
          <w:szCs w:val="32"/>
        </w:rPr>
        <w:t>元，同比增长</w:t>
      </w:r>
      <w:r>
        <w:rPr>
          <w:rFonts w:ascii="仿宋_GB2312" w:hAnsi="仿宋_GB2312" w:eastAsia="仿宋_GB2312" w:cs="仿宋_GB2312"/>
          <w:sz w:val="32"/>
          <w:szCs w:val="32"/>
        </w:rPr>
        <w:t>12.33%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月，臧屯镇荣获</w:t>
      </w:r>
      <w:r>
        <w:rPr>
          <w:rFonts w:hint="eastAsia" w:ascii="仿宋_GB2312" w:hAnsi="楷体_GB2312" w:eastAsia="仿宋_GB2312" w:cs="楷体_GB2312"/>
          <w:sz w:val="32"/>
          <w:szCs w:val="32"/>
        </w:rPr>
        <w:t>“</w:t>
      </w:r>
      <w:r>
        <w:rPr>
          <w:rFonts w:hint="eastAsia" w:ascii="仿宋_GB2312" w:hAnsi="楷体_GB2312" w:eastAsia="仿宋_GB2312" w:cs="楷体_GB2312"/>
          <w:b/>
          <w:bCs/>
          <w:sz w:val="32"/>
          <w:szCs w:val="32"/>
        </w:rPr>
        <w:t>河北省脱贫攻坚先进集体</w:t>
      </w:r>
      <w:r>
        <w:rPr>
          <w:rFonts w:hint="eastAsia" w:ascii="仿宋_GB2312" w:hAnsi="楷体_GB2312" w:eastAsia="仿宋_GB2312" w:cs="楷体_GB2312"/>
          <w:sz w:val="32"/>
          <w:szCs w:val="32"/>
        </w:rPr>
        <w:t>”</w:t>
      </w:r>
      <w:r>
        <w:rPr>
          <w:rFonts w:hint="eastAsia" w:ascii="仿宋_GB2312" w:hAnsi="仿宋_GB2312" w:eastAsia="仿宋_GB2312" w:cs="仿宋_GB2312"/>
          <w:sz w:val="32"/>
          <w:szCs w:val="32"/>
        </w:rPr>
        <w:t>荣誉称号，</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月顺利通过省后评估考核。</w:t>
      </w:r>
    </w:p>
    <w:p>
      <w:pPr>
        <w:spacing w:line="600" w:lineRule="exact"/>
        <w:ind w:firstLine="643" w:firstLineChars="200"/>
        <w:rPr>
          <w:rFonts w:ascii="仿宋_GB2312" w:hAnsi="楷体_GB2312" w:eastAsia="仿宋_GB2312" w:cs="楷体_GB2312"/>
          <w:b/>
          <w:bCs/>
          <w:sz w:val="32"/>
          <w:szCs w:val="32"/>
        </w:rPr>
      </w:pPr>
      <w:r>
        <w:rPr>
          <w:rFonts w:ascii="仿宋_GB2312" w:hAnsi="楷体_GB2312" w:eastAsia="仿宋_GB2312" w:cs="楷体_GB2312"/>
          <w:b/>
          <w:bCs/>
          <w:sz w:val="32"/>
          <w:szCs w:val="32"/>
        </w:rPr>
        <w:t>4.</w:t>
      </w:r>
      <w:r>
        <w:rPr>
          <w:rFonts w:hint="eastAsia" w:ascii="仿宋_GB2312" w:hAnsi="楷体_GB2312" w:eastAsia="仿宋_GB2312" w:cs="楷体_GB2312"/>
          <w:b/>
          <w:bCs/>
          <w:sz w:val="32"/>
          <w:szCs w:val="32"/>
        </w:rPr>
        <w:t>环境治理持续发力，坚决打赢污染防治攻坚战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严格落实禁烧、治企、抑尘等各项措施，辖区空气质量持续改善。</w:t>
      </w:r>
      <w:r>
        <w:rPr>
          <w:rFonts w:hint="eastAsia" w:ascii="仿宋_GB2312" w:hAnsi="仿宋_GB2312" w:eastAsia="仿宋_GB2312" w:cs="仿宋_GB2312"/>
          <w:b/>
          <w:bCs/>
          <w:sz w:val="32"/>
          <w:szCs w:val="32"/>
        </w:rPr>
        <w:t>一是加强火点管控。</w:t>
      </w:r>
      <w:r>
        <w:rPr>
          <w:rFonts w:hint="eastAsia" w:ascii="仿宋_GB2312" w:hAnsi="仿宋_GB2312" w:eastAsia="仿宋_GB2312" w:cs="仿宋_GB2312"/>
          <w:sz w:val="32"/>
          <w:szCs w:val="32"/>
        </w:rPr>
        <w:t>制定印发了《臧屯镇关于秸秆露天禁烧工作考核奖惩暂行规定》和《臧屯镇火点管控网格化管理办法（试行）》，完善网格化监管机制，将火点管控责任夯实到一线。加大执法处罚力度，对发现的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名点火人员，依法进行训诫并给予经济处罚，在一定范围内进行通报，切实发挥警示教育作用。</w:t>
      </w:r>
      <w:r>
        <w:rPr>
          <w:rFonts w:hint="eastAsia" w:ascii="仿宋_GB2312" w:hAnsi="仿宋_GB2312" w:eastAsia="仿宋_GB2312" w:cs="仿宋_GB2312"/>
          <w:b/>
          <w:bCs/>
          <w:sz w:val="32"/>
          <w:szCs w:val="32"/>
        </w:rPr>
        <w:t>二是加强散乱污企业治理。</w:t>
      </w:r>
      <w:r>
        <w:rPr>
          <w:rFonts w:hint="eastAsia" w:ascii="仿宋_GB2312" w:hAnsi="仿宋_GB2312" w:eastAsia="仿宋_GB2312" w:cs="仿宋_GB2312"/>
          <w:sz w:val="32"/>
          <w:szCs w:val="32"/>
        </w:rPr>
        <w:t>持续保持高压态势，强化环境执法监管，在加大夜间巡查力度的同时，联合生态局、公安、供电等部门，逐村进行全方位、地毯式排查，一经发现坚决取缔，实现“打击一处、震慑一片”。今年以来共发现“散乱污”企业</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家，均已落实“两断三清”措施。</w:t>
      </w:r>
      <w:r>
        <w:rPr>
          <w:rFonts w:hint="eastAsia" w:ascii="仿宋_GB2312" w:hAnsi="仿宋_GB2312" w:eastAsia="仿宋_GB2312" w:cs="仿宋_GB2312"/>
          <w:b/>
          <w:bCs/>
          <w:sz w:val="32"/>
          <w:szCs w:val="32"/>
        </w:rPr>
        <w:t>三是严格落实重污染天气应急响应。</w:t>
      </w:r>
      <w:r>
        <w:rPr>
          <w:rFonts w:hint="eastAsia" w:ascii="仿宋_GB2312" w:hAnsi="仿宋_GB2312" w:eastAsia="仿宋_GB2312" w:cs="仿宋_GB2312"/>
          <w:sz w:val="32"/>
          <w:szCs w:val="32"/>
        </w:rPr>
        <w:t>充分发挥网格员作用，加大巡查管控力度，利用企业在线监测、分表计电、无人机航拍等手段，督导辖区内岩棉、橡塑电缆等</w:t>
      </w:r>
      <w:r>
        <w:rPr>
          <w:rFonts w:ascii="仿宋_GB2312" w:hAnsi="仿宋_GB2312" w:eastAsia="仿宋_GB2312" w:cs="仿宋_GB2312"/>
          <w:sz w:val="32"/>
          <w:szCs w:val="32"/>
        </w:rPr>
        <w:t>86</w:t>
      </w:r>
      <w:r>
        <w:rPr>
          <w:rFonts w:hint="eastAsia" w:ascii="仿宋_GB2312" w:hAnsi="仿宋_GB2312" w:eastAsia="仿宋_GB2312" w:cs="仿宋_GB2312"/>
          <w:sz w:val="32"/>
          <w:szCs w:val="32"/>
        </w:rPr>
        <w:t>家重点企业实现超低排放。巡查期间，发现问题，一律停电停产。</w:t>
      </w:r>
      <w:r>
        <w:rPr>
          <w:rFonts w:hint="eastAsia" w:ascii="仿宋_GB2312" w:hAnsi="仿宋_GB2312" w:eastAsia="仿宋_GB2312" w:cs="仿宋_GB2312"/>
          <w:b/>
          <w:bCs/>
          <w:sz w:val="32"/>
          <w:szCs w:val="32"/>
        </w:rPr>
        <w:t>四是强化扬尘治理。</w:t>
      </w:r>
      <w:r>
        <w:rPr>
          <w:rFonts w:hint="eastAsia" w:ascii="仿宋_GB2312" w:hAnsi="仿宋_GB2312" w:eastAsia="仿宋_GB2312" w:cs="仿宋_GB2312"/>
          <w:sz w:val="32"/>
          <w:szCs w:val="32"/>
        </w:rPr>
        <w:t>联合工商、公安、供电等部门，集中开展环境综合整治行动，对辖区内修车、喷涂、大理石加工等小作坊进行再排查、再整治，一经发现一律取缔。另外，配备湿扫车、洒水车、雾炮车，对</w:t>
      </w:r>
      <w:r>
        <w:rPr>
          <w:rFonts w:ascii="仿宋_GB2312" w:hAnsi="仿宋_GB2312" w:eastAsia="仿宋_GB2312" w:cs="仿宋_GB2312"/>
          <w:sz w:val="32"/>
          <w:szCs w:val="32"/>
        </w:rPr>
        <w:t>272</w:t>
      </w:r>
      <w:r>
        <w:rPr>
          <w:rFonts w:hint="eastAsia" w:ascii="仿宋_GB2312" w:hAnsi="仿宋_GB2312" w:eastAsia="仿宋_GB2312" w:cs="仿宋_GB2312"/>
          <w:sz w:val="32"/>
          <w:szCs w:val="32"/>
        </w:rPr>
        <w:t>省道和政府周边道路加大湿扫频次，最大限度降尘抑尘。</w:t>
      </w:r>
    </w:p>
    <w:p>
      <w:pPr>
        <w:spacing w:line="600" w:lineRule="exact"/>
        <w:ind w:firstLine="643" w:firstLineChars="200"/>
        <w:rPr>
          <w:rFonts w:ascii="仿宋_GB2312" w:hAnsi="仿宋" w:eastAsia="仿宋_GB2312" w:cs="仿宋"/>
          <w:sz w:val="32"/>
          <w:szCs w:val="32"/>
        </w:rPr>
      </w:pPr>
      <w:r>
        <w:rPr>
          <w:rFonts w:ascii="仿宋_GB2312" w:hAnsi="楷体_GB2312" w:eastAsia="仿宋_GB2312" w:cs="楷体_GB2312"/>
          <w:b/>
          <w:bCs/>
          <w:sz w:val="32"/>
          <w:szCs w:val="32"/>
        </w:rPr>
        <w:t>5.</w:t>
      </w:r>
      <w:r>
        <w:rPr>
          <w:rFonts w:hint="eastAsia" w:ascii="仿宋_GB2312" w:hAnsi="楷体_GB2312" w:eastAsia="仿宋_GB2312" w:cs="楷体_GB2312"/>
          <w:b/>
          <w:bCs/>
          <w:sz w:val="32"/>
          <w:szCs w:val="32"/>
        </w:rPr>
        <w:t>坚决守住底线，社会大局和谐稳定</w:t>
      </w:r>
    </w:p>
    <w:p>
      <w:pPr>
        <w:spacing w:line="584"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一是坚守安全生产底线。</w:t>
      </w:r>
      <w:r>
        <w:rPr>
          <w:rFonts w:hint="eastAsia" w:ascii="仿宋_GB2312" w:hAnsi="仿宋_GB2312" w:eastAsia="仿宋_GB2312" w:cs="仿宋_GB2312"/>
          <w:sz w:val="32"/>
          <w:szCs w:val="32"/>
        </w:rPr>
        <w:t>严格落实安全生产责任制，持续深入开展安全生产专项整治三年行动和安全生产大排查大整治行动，坚决遏制各类安全生产事故发生。</w:t>
      </w:r>
      <w:r>
        <w:rPr>
          <w:rFonts w:hint="eastAsia" w:ascii="仿宋_GB2312" w:hAnsi="仿宋_GB2312" w:eastAsia="仿宋_GB2312" w:cs="仿宋_GB2312"/>
          <w:b/>
          <w:kern w:val="0"/>
          <w:sz w:val="32"/>
          <w:szCs w:val="32"/>
        </w:rPr>
        <w:t>企业生产方面，</w:t>
      </w:r>
      <w:r>
        <w:rPr>
          <w:rFonts w:hint="eastAsia" w:ascii="仿宋_GB2312" w:hAnsi="仿宋_GB2312" w:eastAsia="仿宋_GB2312" w:cs="仿宋_GB2312"/>
          <w:sz w:val="32"/>
          <w:szCs w:val="32"/>
        </w:rPr>
        <w:t>累计检查企业</w:t>
      </w:r>
      <w:r>
        <w:rPr>
          <w:rFonts w:ascii="仿宋_GB2312" w:hAnsi="仿宋_GB2312" w:eastAsia="仿宋_GB2312" w:cs="仿宋_GB2312"/>
          <w:sz w:val="32"/>
          <w:szCs w:val="32"/>
        </w:rPr>
        <w:t>71</w:t>
      </w:r>
      <w:r>
        <w:rPr>
          <w:rFonts w:hint="eastAsia" w:ascii="仿宋_GB2312" w:hAnsi="仿宋_GB2312" w:eastAsia="仿宋_GB2312" w:cs="仿宋_GB2312"/>
          <w:sz w:val="32"/>
          <w:szCs w:val="32"/>
        </w:rPr>
        <w:t>家次，发现安全生产隐患</w:t>
      </w:r>
      <w:r>
        <w:rPr>
          <w:rFonts w:ascii="仿宋_GB2312" w:hAnsi="仿宋_GB2312" w:eastAsia="仿宋_GB2312" w:cs="仿宋_GB2312"/>
          <w:sz w:val="32"/>
          <w:szCs w:val="32"/>
        </w:rPr>
        <w:t>78</w:t>
      </w:r>
      <w:r>
        <w:rPr>
          <w:rFonts w:hint="eastAsia" w:ascii="仿宋_GB2312" w:hAnsi="仿宋_GB2312" w:eastAsia="仿宋_GB2312" w:cs="仿宋_GB2312"/>
          <w:sz w:val="32"/>
          <w:szCs w:val="32"/>
        </w:rPr>
        <w:t>处，现场整改</w:t>
      </w:r>
      <w:r>
        <w:rPr>
          <w:rFonts w:ascii="仿宋_GB2312" w:hAnsi="仿宋_GB2312" w:eastAsia="仿宋_GB2312" w:cs="仿宋_GB2312"/>
          <w:sz w:val="32"/>
          <w:szCs w:val="32"/>
        </w:rPr>
        <w:t>58</w:t>
      </w:r>
      <w:r>
        <w:rPr>
          <w:rFonts w:hint="eastAsia" w:ascii="仿宋_GB2312" w:hAnsi="仿宋_GB2312" w:eastAsia="仿宋_GB2312" w:cs="仿宋_GB2312"/>
          <w:sz w:val="32"/>
          <w:szCs w:val="32"/>
        </w:rPr>
        <w:t>处，下达限期整改指令</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现均已整改到位；</w:t>
      </w:r>
      <w:r>
        <w:rPr>
          <w:rFonts w:hint="eastAsia" w:ascii="仿宋_GB2312" w:hAnsi="仿宋_GB2312" w:eastAsia="仿宋_GB2312" w:cs="仿宋_GB2312"/>
          <w:b/>
          <w:bCs/>
          <w:sz w:val="32"/>
          <w:szCs w:val="32"/>
        </w:rPr>
        <w:t>校园安全方面</w:t>
      </w:r>
      <w:r>
        <w:rPr>
          <w:rFonts w:hint="eastAsia" w:ascii="仿宋_GB2312" w:hAnsi="仿宋_GB2312" w:eastAsia="仿宋_GB2312" w:cs="仿宋_GB2312"/>
          <w:sz w:val="32"/>
          <w:szCs w:val="32"/>
        </w:rPr>
        <w:t>，针对用电、消防、食品、交通等领域，对辖区内</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所中学、</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所小学、</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家幼儿园开展安全隐患大排查，累计排查整顿安全隐患</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处，印发防溺水宣传单</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余份。</w:t>
      </w:r>
      <w:r>
        <w:rPr>
          <w:rFonts w:hint="eastAsia" w:ascii="仿宋_GB2312" w:hAnsi="仿宋_GB2312" w:eastAsia="仿宋_GB2312" w:cs="仿宋_GB2312"/>
          <w:b/>
          <w:bCs/>
          <w:sz w:val="32"/>
          <w:szCs w:val="32"/>
        </w:rPr>
        <w:t>防汛抗旱方面</w:t>
      </w:r>
      <w:r>
        <w:rPr>
          <w:rFonts w:hint="eastAsia" w:ascii="仿宋_GB2312" w:hAnsi="仿宋_GB2312" w:eastAsia="仿宋_GB2312" w:cs="仿宋_GB2312"/>
          <w:sz w:val="32"/>
          <w:szCs w:val="32"/>
        </w:rPr>
        <w:t>，逐村研究制定防汛抗旱应急预案，积极筹备应急物资，组建应急队伍，强化应急处置培训，提升村街应对处置突发事件的能力和水平，保障村街安全度汛。</w:t>
      </w:r>
      <w:r>
        <w:rPr>
          <w:rFonts w:hint="eastAsia" w:ascii="仿宋_GB2312" w:hAnsi="仿宋_GB2312" w:eastAsia="仿宋_GB2312" w:cs="仿宋_GB2312"/>
          <w:b/>
          <w:bCs/>
          <w:sz w:val="32"/>
          <w:szCs w:val="32"/>
        </w:rPr>
        <w:t>消防安全方面</w:t>
      </w:r>
      <w:r>
        <w:rPr>
          <w:rFonts w:hint="eastAsia" w:ascii="仿宋_GB2312" w:hAnsi="仿宋_GB2312" w:eastAsia="仿宋_GB2312" w:cs="仿宋_GB2312"/>
          <w:sz w:val="32"/>
          <w:szCs w:val="32"/>
        </w:rPr>
        <w:t>，持续加大宣传和排查整治力度，张贴警示标语、宣传画报</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余份，印发宣传单</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余份，同时每月组织村街协管员对村街房前屋后及燃气管线等进行安全隐患排查，发现问题及时协调解决。</w:t>
      </w:r>
      <w:r>
        <w:rPr>
          <w:rFonts w:hint="eastAsia" w:ascii="仿宋_GB2312" w:hAnsi="仿宋_GB2312" w:eastAsia="仿宋_GB2312" w:cs="仿宋_GB2312"/>
          <w:b/>
          <w:bCs/>
          <w:sz w:val="32"/>
          <w:szCs w:val="32"/>
        </w:rPr>
        <w:t>二是常态化做好疫情防控工作。</w:t>
      </w:r>
      <w:r>
        <w:rPr>
          <w:rFonts w:hint="eastAsia" w:ascii="仿宋_GB2312" w:hAnsi="仿宋_GB2312" w:eastAsia="仿宋_GB2312" w:cs="仿宋_GB2312"/>
          <w:sz w:val="32"/>
          <w:szCs w:val="32"/>
        </w:rPr>
        <w:t>在全面落实河北省十个常态化、</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项防控措施的基础上，全力推进疫苗接种工作。截至目前，累计接种新冠病毒疫苗</w:t>
      </w:r>
      <w:r>
        <w:rPr>
          <w:rFonts w:ascii="仿宋_GB2312" w:hAnsi="仿宋_GB2312" w:eastAsia="仿宋_GB2312" w:cs="仿宋_GB2312"/>
          <w:sz w:val="32"/>
          <w:szCs w:val="32"/>
        </w:rPr>
        <w:t>88715</w:t>
      </w:r>
      <w:r>
        <w:rPr>
          <w:rFonts w:hint="eastAsia" w:ascii="仿宋_GB2312" w:hAnsi="仿宋_GB2312" w:eastAsia="仿宋_GB2312" w:cs="仿宋_GB2312"/>
          <w:sz w:val="32"/>
          <w:szCs w:val="32"/>
        </w:rPr>
        <w:t>剂次，完成全程接种人数</w:t>
      </w:r>
      <w:r>
        <w:rPr>
          <w:rFonts w:ascii="仿宋_GB2312" w:hAnsi="仿宋_GB2312" w:eastAsia="仿宋_GB2312" w:cs="仿宋_GB2312"/>
          <w:sz w:val="32"/>
          <w:szCs w:val="32"/>
        </w:rPr>
        <w:t>38405</w:t>
      </w:r>
      <w:r>
        <w:rPr>
          <w:rFonts w:hint="eastAsia" w:ascii="仿宋_GB2312" w:hAnsi="仿宋_GB2312" w:eastAsia="仿宋_GB2312" w:cs="仿宋_GB2312"/>
          <w:sz w:val="32"/>
          <w:szCs w:val="32"/>
        </w:rPr>
        <w:t>人，完成加强免疫接种</w:t>
      </w:r>
      <w:r>
        <w:rPr>
          <w:rFonts w:ascii="仿宋_GB2312" w:hAnsi="仿宋_GB2312" w:eastAsia="仿宋_GB2312" w:cs="仿宋_GB2312"/>
          <w:sz w:val="32"/>
          <w:szCs w:val="32"/>
        </w:rPr>
        <w:t>8546</w:t>
      </w:r>
      <w:r>
        <w:rPr>
          <w:rFonts w:hint="eastAsia" w:ascii="仿宋_GB2312" w:hAnsi="仿宋_GB2312" w:eastAsia="仿宋_GB2312" w:cs="仿宋_GB2312"/>
          <w:sz w:val="32"/>
          <w:szCs w:val="32"/>
        </w:rPr>
        <w:t>剂次，免疫屏障进一步强化。</w:t>
      </w:r>
      <w:r>
        <w:rPr>
          <w:rFonts w:hint="eastAsia" w:ascii="仿宋_GB2312" w:hAnsi="仿宋_GB2312" w:eastAsia="仿宋_GB2312" w:cs="仿宋_GB2312"/>
          <w:b/>
          <w:bCs/>
          <w:sz w:val="32"/>
          <w:szCs w:val="32"/>
        </w:rPr>
        <w:t>三是违法占地整治持续发力。</w:t>
      </w:r>
      <w:r>
        <w:rPr>
          <w:rFonts w:hint="eastAsia" w:ascii="仿宋_GB2312" w:hAnsi="仿宋_GB2312" w:eastAsia="仿宋_GB2312" w:cs="仿宋_GB2312"/>
          <w:sz w:val="32"/>
          <w:szCs w:val="32"/>
        </w:rPr>
        <w:t>今年以来，多次组织召开班子会议、村街干部大会安排部署、密集调度，并成立了由镇城建办、综合行政执法队、土地所、供电所、派出所等部门组成的联合拆违工作组，集中攻坚，稳步推进拆违工作任务。同时，继续实行新建住房日排查、周报告制度，加大日常巡察执法力度，尤其针对占用耕地、破坏基本农田等行为，发现一起、处置一起，以最严格的土地保护机制坚决遏制违法占地新增，切实维护辖区正常的土地管理秩序。</w:t>
      </w:r>
      <w:r>
        <w:rPr>
          <w:rFonts w:hint="eastAsia" w:ascii="仿宋_GB2312" w:hAnsi="仿宋_GB2312" w:eastAsia="仿宋_GB2312" w:cs="仿宋_GB2312"/>
          <w:b/>
          <w:bCs/>
          <w:sz w:val="32"/>
          <w:szCs w:val="32"/>
        </w:rPr>
        <w:t>四是深入推进法治乡镇建设。</w:t>
      </w:r>
      <w:r>
        <w:rPr>
          <w:rFonts w:hint="eastAsia" w:ascii="仿宋_GB2312" w:hAnsi="仿宋_GB2312" w:eastAsia="仿宋_GB2312" w:cs="仿宋_GB2312"/>
          <w:bCs/>
          <w:sz w:val="32"/>
          <w:szCs w:val="32"/>
        </w:rPr>
        <w:t>借助“群众说事、干部解题”和智慧信访平台，切实加强网格化管理和服务，做到“小事不出村、大事不出镇、矛盾不上交”，社会治理水平显著提升。</w:t>
      </w: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年，臧屯镇荣获</w:t>
      </w:r>
      <w:r>
        <w:rPr>
          <w:rFonts w:hint="eastAsia" w:ascii="仿宋_GB2312" w:hAnsi="楷体_GB2312" w:eastAsia="仿宋_GB2312" w:cs="楷体_GB2312"/>
          <w:bCs/>
          <w:sz w:val="32"/>
          <w:szCs w:val="32"/>
        </w:rPr>
        <w:t>“</w:t>
      </w:r>
      <w:r>
        <w:rPr>
          <w:rFonts w:hint="eastAsia" w:ascii="仿宋_GB2312" w:hAnsi="楷体_GB2312" w:eastAsia="仿宋_GB2312" w:cs="楷体_GB2312"/>
          <w:b/>
          <w:bCs/>
          <w:sz w:val="32"/>
          <w:szCs w:val="32"/>
        </w:rPr>
        <w:t>河北省法治政府建设示范乡镇</w:t>
      </w:r>
      <w:r>
        <w:rPr>
          <w:rFonts w:hint="eastAsia" w:ascii="仿宋_GB2312" w:hAnsi="楷体_GB2312" w:eastAsia="仿宋_GB2312" w:cs="楷体_GB2312"/>
          <w:bCs/>
          <w:sz w:val="32"/>
          <w:szCs w:val="32"/>
        </w:rPr>
        <w:t>”</w:t>
      </w:r>
      <w:r>
        <w:rPr>
          <w:rFonts w:hint="eastAsia" w:ascii="仿宋_GB2312" w:hAnsi="仿宋_GB2312" w:eastAsia="仿宋_GB2312" w:cs="仿宋_GB2312"/>
          <w:bCs/>
          <w:sz w:val="32"/>
          <w:szCs w:val="32"/>
        </w:rPr>
        <w:t>称号。</w:t>
      </w:r>
      <w:r>
        <w:rPr>
          <w:rFonts w:hint="eastAsia" w:ascii="仿宋_GB2312" w:hAnsi="仿宋_GB2312" w:eastAsia="仿宋_GB2312" w:cs="仿宋_GB2312"/>
          <w:b/>
          <w:sz w:val="32"/>
          <w:szCs w:val="32"/>
        </w:rPr>
        <w:t>五是抓好信访稳定工作。</w:t>
      </w:r>
      <w:r>
        <w:rPr>
          <w:rFonts w:hint="eastAsia" w:ascii="仿宋_GB2312" w:hAnsi="仿宋_GB2312" w:eastAsia="仿宋_GB2312" w:cs="仿宋_GB2312"/>
          <w:bCs/>
          <w:sz w:val="32"/>
          <w:szCs w:val="32"/>
        </w:rPr>
        <w:t>严格落实领导干部定期接访制度，进一步畅通信访渠道，推动信访问题及时就地化解。同时，全力做好积案化解、重点人员稳控等各项工作，确保社会大局和谐稳定。</w:t>
      </w:r>
    </w:p>
    <w:p>
      <w:pPr>
        <w:spacing w:line="584"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仿宋_GB2312" w:hAnsi="Times New Roman" w:eastAsia="仿宋_GB2312"/>
          <w:kern w:val="0"/>
          <w:sz w:val="32"/>
          <w:szCs w:val="32"/>
        </w:rPr>
      </w:pPr>
      <w:r>
        <w:rPr>
          <w:rFonts w:ascii="仿宋_GB2312" w:hAnsi="仿宋" w:eastAsia="仿宋_GB2312" w:cs="仿宋"/>
          <w:b/>
          <w:bCs/>
          <w:kern w:val="0"/>
          <w:sz w:val="32"/>
          <w:szCs w:val="32"/>
        </w:rPr>
        <w:t>1.</w:t>
      </w:r>
      <w:r>
        <w:rPr>
          <w:rFonts w:hint="eastAsia" w:ascii="仿宋_GB2312" w:hAnsi="仿宋" w:eastAsia="仿宋_GB2312" w:cs="仿宋"/>
          <w:b/>
          <w:bCs/>
          <w:kern w:val="0"/>
          <w:sz w:val="32"/>
          <w:szCs w:val="32"/>
        </w:rPr>
        <w:t>完善制度建设。</w:t>
      </w:r>
      <w:r>
        <w:rPr>
          <w:rFonts w:hint="eastAsia" w:ascii="仿宋_GB2312" w:hAnsi="仿宋" w:eastAsia="仿宋_GB2312"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仿宋_GB2312" w:hAnsi="·ÂËÎ" w:eastAsia="仿宋_GB2312" w:cs="·ÂËÎ"/>
          <w:kern w:val="0"/>
          <w:sz w:val="32"/>
          <w:szCs w:val="32"/>
        </w:rPr>
      </w:pPr>
      <w:r>
        <w:rPr>
          <w:rFonts w:ascii="仿宋_GB2312" w:hAnsi="仿宋" w:eastAsia="仿宋_GB2312" w:cs="仿宋"/>
          <w:b/>
          <w:bCs/>
          <w:kern w:val="0"/>
          <w:sz w:val="32"/>
          <w:szCs w:val="32"/>
        </w:rPr>
        <w:t>2.</w:t>
      </w:r>
      <w:r>
        <w:rPr>
          <w:rFonts w:hint="eastAsia" w:ascii="仿宋_GB2312" w:hAnsi="仿宋" w:eastAsia="仿宋_GB2312" w:cs="仿宋"/>
          <w:b/>
          <w:bCs/>
          <w:kern w:val="0"/>
          <w:sz w:val="32"/>
          <w:szCs w:val="32"/>
        </w:rPr>
        <w:t>加强支出管理。</w:t>
      </w:r>
      <w:r>
        <w:rPr>
          <w:rFonts w:hint="eastAsia" w:ascii="仿宋_GB2312" w:hAnsi="仿宋" w:eastAsia="仿宋_GB2312" w:cs="仿宋"/>
          <w:color w:val="000000"/>
          <w:kern w:val="0"/>
          <w:sz w:val="32"/>
          <w:szCs w:val="32"/>
        </w:rPr>
        <w:t>通过优化支出结构、编细编实预算、加快履行政府采购手续、尽快启动项目、及时支付资金、</w:t>
      </w:r>
      <w:r>
        <w:rPr>
          <w:rFonts w:ascii="仿宋_GB2312" w:hAnsi="仿宋" w:eastAsia="仿宋_GB2312" w:cs="仿宋"/>
          <w:color w:val="000000"/>
          <w:kern w:val="0"/>
          <w:sz w:val="32"/>
          <w:szCs w:val="32"/>
        </w:rPr>
        <w:t>6</w:t>
      </w:r>
      <w:r>
        <w:rPr>
          <w:rFonts w:hint="eastAsia" w:ascii="仿宋_GB2312" w:hAnsi="仿宋" w:eastAsia="仿宋_GB2312"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仿宋_GB2312" w:hAnsi="Times New Roman" w:eastAsia="仿宋_GB2312"/>
          <w:kern w:val="0"/>
          <w:sz w:val="32"/>
          <w:szCs w:val="32"/>
        </w:rPr>
      </w:pPr>
      <w:r>
        <w:rPr>
          <w:rFonts w:ascii="仿宋_GB2312" w:hAnsi="仿宋" w:eastAsia="仿宋_GB2312" w:cs="仿宋"/>
          <w:b/>
          <w:bCs/>
          <w:kern w:val="0"/>
          <w:sz w:val="32"/>
          <w:szCs w:val="32"/>
        </w:rPr>
        <w:t>3.</w:t>
      </w:r>
      <w:r>
        <w:rPr>
          <w:rFonts w:hint="eastAsia" w:ascii="仿宋_GB2312" w:hAnsi="仿宋" w:eastAsia="仿宋_GB2312" w:cs="仿宋"/>
          <w:b/>
          <w:bCs/>
          <w:kern w:val="0"/>
          <w:sz w:val="32"/>
          <w:szCs w:val="32"/>
        </w:rPr>
        <w:t>加强绩效运行监控。</w:t>
      </w:r>
      <w:r>
        <w:rPr>
          <w:rFonts w:hint="eastAsia" w:ascii="仿宋_GB2312" w:hAnsi="仿宋" w:eastAsia="仿宋_GB2312"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仿宋_GB2312" w:hAnsi="Times New Roman" w:eastAsia="仿宋_GB2312"/>
          <w:kern w:val="0"/>
          <w:sz w:val="32"/>
          <w:szCs w:val="32"/>
        </w:rPr>
      </w:pPr>
      <w:r>
        <w:rPr>
          <w:rFonts w:ascii="仿宋_GB2312" w:hAnsi="仿宋" w:eastAsia="仿宋_GB2312" w:cs="仿宋"/>
          <w:b/>
          <w:bCs/>
          <w:kern w:val="0"/>
          <w:sz w:val="32"/>
          <w:szCs w:val="32"/>
        </w:rPr>
        <w:t>4.</w:t>
      </w:r>
      <w:r>
        <w:rPr>
          <w:rFonts w:hint="eastAsia" w:ascii="仿宋_GB2312" w:hAnsi="仿宋" w:eastAsia="仿宋_GB2312" w:cs="仿宋"/>
          <w:b/>
          <w:bCs/>
          <w:kern w:val="0"/>
          <w:sz w:val="32"/>
          <w:szCs w:val="32"/>
        </w:rPr>
        <w:t>做好绩效自评。</w:t>
      </w:r>
      <w:r>
        <w:rPr>
          <w:rFonts w:hint="eastAsia" w:ascii="仿宋_GB2312" w:hAnsi="仿宋" w:eastAsia="仿宋_GB2312" w:cs="仿宋"/>
          <w:kern w:val="0"/>
          <w:sz w:val="32"/>
          <w:szCs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仿宋_GB2312" w:hAnsi="Times New Roman" w:eastAsia="仿宋_GB2312"/>
          <w:kern w:val="0"/>
          <w:sz w:val="32"/>
          <w:szCs w:val="32"/>
        </w:rPr>
      </w:pPr>
      <w:r>
        <w:rPr>
          <w:rFonts w:ascii="仿宋_GB2312" w:hAnsi="仿宋" w:eastAsia="仿宋_GB2312" w:cs="仿宋"/>
          <w:b/>
          <w:bCs/>
          <w:kern w:val="0"/>
          <w:sz w:val="32"/>
          <w:szCs w:val="32"/>
        </w:rPr>
        <w:t>5.</w:t>
      </w:r>
      <w:r>
        <w:rPr>
          <w:rFonts w:hint="eastAsia" w:ascii="仿宋_GB2312" w:hAnsi="仿宋" w:eastAsia="仿宋_GB2312" w:cs="仿宋"/>
          <w:b/>
          <w:bCs/>
          <w:kern w:val="0"/>
          <w:sz w:val="32"/>
          <w:szCs w:val="32"/>
        </w:rPr>
        <w:t>规范财务资产管理。</w:t>
      </w:r>
      <w:r>
        <w:rPr>
          <w:rFonts w:hint="eastAsia" w:ascii="仿宋_GB2312" w:hAnsi="仿宋" w:eastAsia="仿宋_GB2312"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仿宋_GB2312" w:hAnsi="Times New Roman" w:eastAsia="仿宋_GB2312"/>
          <w:kern w:val="0"/>
          <w:sz w:val="32"/>
          <w:szCs w:val="32"/>
        </w:rPr>
      </w:pPr>
      <w:r>
        <w:rPr>
          <w:rFonts w:ascii="仿宋_GB2312" w:hAnsi="仿宋" w:eastAsia="仿宋_GB2312" w:cs="仿宋"/>
          <w:b/>
          <w:bCs/>
          <w:kern w:val="0"/>
          <w:sz w:val="32"/>
          <w:szCs w:val="32"/>
        </w:rPr>
        <w:t>6.</w:t>
      </w:r>
      <w:r>
        <w:rPr>
          <w:rFonts w:hint="eastAsia" w:ascii="仿宋_GB2312" w:hAnsi="仿宋" w:eastAsia="仿宋_GB2312" w:cs="仿宋"/>
          <w:b/>
          <w:bCs/>
          <w:kern w:val="0"/>
          <w:sz w:val="32"/>
          <w:szCs w:val="32"/>
        </w:rPr>
        <w:t>加强内部监督。</w:t>
      </w:r>
      <w:r>
        <w:rPr>
          <w:rFonts w:hint="eastAsia" w:ascii="仿宋_GB2312" w:hAnsi="仿宋" w:eastAsia="仿宋_GB2312"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30" w:firstLineChars="196"/>
        <w:jc w:val="left"/>
        <w:rPr>
          <w:rFonts w:ascii="仿宋_GB2312" w:hAnsi="仿宋" w:eastAsia="仿宋_GB2312" w:cs="仿宋"/>
          <w:kern w:val="0"/>
          <w:sz w:val="32"/>
          <w:szCs w:val="32"/>
        </w:rPr>
      </w:pPr>
      <w:r>
        <w:rPr>
          <w:rFonts w:ascii="仿宋_GB2312" w:hAnsi="仿宋" w:eastAsia="仿宋_GB2312" w:cs="仿宋"/>
          <w:b/>
          <w:bCs/>
          <w:kern w:val="0"/>
          <w:sz w:val="32"/>
          <w:szCs w:val="32"/>
        </w:rPr>
        <w:t>7.</w:t>
      </w:r>
      <w:r>
        <w:rPr>
          <w:rFonts w:hint="eastAsia" w:ascii="仿宋_GB2312" w:hAnsi="仿宋" w:eastAsia="仿宋_GB2312" w:cs="仿宋"/>
          <w:b/>
          <w:bCs/>
          <w:kern w:val="0"/>
          <w:sz w:val="32"/>
          <w:szCs w:val="32"/>
        </w:rPr>
        <w:t>加强宣传培训调研等。</w:t>
      </w:r>
      <w:r>
        <w:rPr>
          <w:rFonts w:hint="eastAsia" w:ascii="仿宋_GB2312" w:hAnsi="仿宋" w:eastAsia="仿宋_GB2312" w:cs="仿宋"/>
          <w:kern w:val="0"/>
          <w:sz w:val="32"/>
          <w:szCs w:val="32"/>
        </w:rPr>
        <w:t>加强人员培训，提高本部门职工业务素质；加强调研，提出优化财政资金配置、提高资金使用效益的意见；加大宣传力度，强化预算绩效管理意识，促进预算绩</w:t>
      </w:r>
      <w:r>
        <w:rPr>
          <w:rFonts w:ascii="仿宋_GB2312" w:hAnsi="仿宋" w:eastAsia="仿宋_GB2312" w:cs="仿宋"/>
          <w:kern w:val="0"/>
          <w:sz w:val="32"/>
          <w:szCs w:val="32"/>
        </w:rPr>
        <w:t xml:space="preserve"> </w:t>
      </w:r>
      <w:r>
        <w:rPr>
          <w:rFonts w:hint="eastAsia" w:ascii="仿宋_GB2312" w:hAnsi="仿宋" w:eastAsia="仿宋_GB2312" w:cs="仿宋"/>
          <w:kern w:val="0"/>
          <w:sz w:val="32"/>
          <w:szCs w:val="32"/>
        </w:rPr>
        <w:t>效管理水平进一步提升。</w:t>
      </w:r>
    </w:p>
    <w:p>
      <w:pPr>
        <w:overflowPunct w:val="0"/>
        <w:adjustRightInd w:val="0"/>
        <w:snapToGrid w:val="0"/>
        <w:spacing w:afterLines="50" w:line="580" w:lineRule="exact"/>
        <w:jc w:val="left"/>
        <w:rPr>
          <w:rFonts w:ascii="仿宋_GB2312" w:eastAsia="仿宋_GB2312" w:cs="Times New Roman"/>
          <w:b/>
          <w:sz w:val="32"/>
          <w:szCs w:val="32"/>
        </w:rPr>
      </w:pPr>
      <w:r>
        <w:rPr>
          <w:rFonts w:ascii="仿宋_GB2312" w:eastAsia="仿宋_GB2312" w:cs="Times New Roman"/>
          <w:b/>
          <w:sz w:val="32"/>
          <w:szCs w:val="32"/>
        </w:rPr>
        <w:t xml:space="preserve">   </w:t>
      </w:r>
    </w:p>
    <w:p>
      <w:pPr>
        <w:overflowPunct w:val="0"/>
        <w:adjustRightInd w:val="0"/>
        <w:snapToGrid w:val="0"/>
        <w:spacing w:afterLines="50" w:line="580" w:lineRule="exact"/>
        <w:jc w:val="left"/>
        <w:rPr>
          <w:rFonts w:ascii="仿宋_GB2312" w:eastAsia="仿宋_GB2312" w:cs="Times New Roman"/>
          <w:b/>
          <w:sz w:val="32"/>
          <w:szCs w:val="32"/>
        </w:rPr>
      </w:pPr>
    </w:p>
    <w:p>
      <w:pPr>
        <w:overflowPunct w:val="0"/>
        <w:adjustRightInd w:val="0"/>
        <w:snapToGrid w:val="0"/>
        <w:spacing w:afterLines="50" w:line="580" w:lineRule="exact"/>
        <w:jc w:val="left"/>
        <w:rPr>
          <w:rFonts w:ascii="仿宋_GB2312" w:eastAsia="仿宋_GB2312" w:cs="Times New Roman"/>
          <w:b/>
          <w:sz w:val="32"/>
          <w:szCs w:val="32"/>
        </w:rPr>
      </w:pPr>
    </w:p>
    <w:p>
      <w:pPr>
        <w:overflowPunct w:val="0"/>
        <w:adjustRightInd w:val="0"/>
        <w:snapToGrid w:val="0"/>
        <w:spacing w:afterLines="50" w:line="580" w:lineRule="exact"/>
        <w:jc w:val="left"/>
        <w:rPr>
          <w:rFonts w:ascii="仿宋_GB2312" w:eastAsia="仿宋_GB2312" w:cs="Times New Roman"/>
          <w:b/>
          <w:sz w:val="32"/>
          <w:szCs w:val="32"/>
        </w:rPr>
      </w:pPr>
    </w:p>
    <w:p>
      <w:pPr>
        <w:overflowPunct w:val="0"/>
        <w:adjustRightInd w:val="0"/>
        <w:snapToGrid w:val="0"/>
        <w:spacing w:afterLines="50" w:line="580" w:lineRule="exact"/>
        <w:jc w:val="left"/>
        <w:rPr>
          <w:rFonts w:ascii="仿宋_GB2312" w:eastAsia="仿宋_GB2312" w:cs="Times New Roman"/>
          <w:b/>
          <w:sz w:val="32"/>
          <w:szCs w:val="32"/>
        </w:rPr>
      </w:pPr>
    </w:p>
    <w:p>
      <w:pPr>
        <w:overflowPunct w:val="0"/>
        <w:adjustRightInd w:val="0"/>
        <w:snapToGrid w:val="0"/>
        <w:spacing w:afterLines="50" w:line="580" w:lineRule="exact"/>
        <w:ind w:firstLine="964" w:firstLineChars="300"/>
        <w:jc w:val="left"/>
        <w:rPr>
          <w:rFonts w:ascii="仿宋_GB2312" w:eastAsia="仿宋_GB2312" w:cs="Times New Roman"/>
          <w:b/>
          <w:sz w:val="32"/>
          <w:szCs w:val="32"/>
        </w:rPr>
      </w:pPr>
      <w:r>
        <w:rPr>
          <w:rFonts w:ascii="仿宋_GB2312" w:eastAsia="仿宋_GB2312" w:cs="Times New Roman"/>
          <w:b/>
          <w:sz w:val="32"/>
          <w:szCs w:val="32"/>
        </w:rPr>
        <w:t xml:space="preserve"> </w:t>
      </w:r>
      <w:r>
        <w:rPr>
          <w:rFonts w:hint="eastAsia" w:ascii="仿宋_GB2312" w:eastAsia="仿宋_GB2312" w:cs="Times New Roman"/>
          <w:b/>
          <w:sz w:val="32"/>
          <w:szCs w:val="32"/>
        </w:rPr>
        <w:t>（四）部门整体支出绩效指标</w:t>
      </w:r>
    </w:p>
    <w:tbl>
      <w:tblPr>
        <w:tblStyle w:val="9"/>
        <w:tblW w:w="12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86"/>
        <w:gridCol w:w="1007"/>
        <w:gridCol w:w="2835"/>
        <w:gridCol w:w="2977"/>
        <w:gridCol w:w="2410"/>
        <w:gridCol w:w="567"/>
        <w:gridCol w:w="709"/>
        <w:gridCol w:w="567"/>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86"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一级指标</w:t>
            </w:r>
          </w:p>
        </w:tc>
        <w:tc>
          <w:tcPr>
            <w:tcW w:w="1007"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二级</w:t>
            </w:r>
          </w:p>
          <w:p>
            <w:pPr>
              <w:widowControl/>
              <w:adjustRightInd w:val="0"/>
              <w:snapToGrid w:val="0"/>
              <w:jc w:val="center"/>
              <w:rPr>
                <w:rFonts w:ascii="仿宋_GB2312" w:eastAsia="仿宋_GB2312"/>
                <w:b/>
              </w:rPr>
            </w:pPr>
            <w:r>
              <w:rPr>
                <w:rFonts w:hint="eastAsia" w:ascii="仿宋_GB2312" w:eastAsia="仿宋_GB2312"/>
                <w:b/>
              </w:rPr>
              <w:t>指标</w:t>
            </w:r>
          </w:p>
        </w:tc>
        <w:tc>
          <w:tcPr>
            <w:tcW w:w="2835"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三级</w:t>
            </w:r>
          </w:p>
          <w:p>
            <w:pPr>
              <w:widowControl/>
              <w:adjustRightInd w:val="0"/>
              <w:snapToGrid w:val="0"/>
              <w:jc w:val="center"/>
              <w:rPr>
                <w:rFonts w:ascii="仿宋_GB2312" w:eastAsia="仿宋_GB2312"/>
                <w:b/>
              </w:rPr>
            </w:pPr>
            <w:r>
              <w:rPr>
                <w:rFonts w:hint="eastAsia" w:ascii="仿宋_GB2312" w:eastAsia="仿宋_GB2312"/>
                <w:b/>
              </w:rPr>
              <w:t>指标</w:t>
            </w:r>
          </w:p>
        </w:tc>
        <w:tc>
          <w:tcPr>
            <w:tcW w:w="2977"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评（扣）分标准</w:t>
            </w:r>
          </w:p>
        </w:tc>
        <w:tc>
          <w:tcPr>
            <w:tcW w:w="2410" w:type="dxa"/>
            <w:vAlign w:val="center"/>
          </w:tcPr>
          <w:p>
            <w:pPr>
              <w:widowControl/>
              <w:adjustRightInd w:val="0"/>
              <w:snapToGrid w:val="0"/>
              <w:jc w:val="center"/>
              <w:rPr>
                <w:rFonts w:ascii="仿宋_GB2312" w:eastAsia="仿宋_GB2312"/>
                <w:b/>
              </w:rPr>
            </w:pPr>
            <w:r>
              <w:rPr>
                <w:rFonts w:hint="eastAsia" w:ascii="仿宋_GB2312" w:eastAsia="仿宋_GB2312"/>
                <w:b/>
              </w:rPr>
              <w:t>绩效指标</w:t>
            </w:r>
          </w:p>
          <w:p>
            <w:pPr>
              <w:widowControl/>
              <w:adjustRightInd w:val="0"/>
              <w:snapToGrid w:val="0"/>
              <w:jc w:val="center"/>
              <w:rPr>
                <w:rFonts w:ascii="仿宋_GB2312" w:eastAsia="仿宋_GB2312"/>
                <w:b/>
              </w:rPr>
            </w:pPr>
            <w:r>
              <w:rPr>
                <w:rFonts w:hint="eastAsia" w:ascii="仿宋_GB2312" w:eastAsia="仿宋_GB2312"/>
                <w:b/>
              </w:rPr>
              <w:t>描述</w:t>
            </w:r>
          </w:p>
        </w:tc>
        <w:tc>
          <w:tcPr>
            <w:tcW w:w="1843" w:type="dxa"/>
            <w:gridSpan w:val="3"/>
            <w:vAlign w:val="center"/>
          </w:tcPr>
          <w:p>
            <w:pPr>
              <w:widowControl/>
              <w:adjustRightInd w:val="0"/>
              <w:snapToGrid w:val="0"/>
              <w:jc w:val="center"/>
              <w:rPr>
                <w:rFonts w:ascii="仿宋_GB2312" w:eastAsia="仿宋_GB2312"/>
                <w:b/>
              </w:rPr>
            </w:pPr>
            <w:r>
              <w:rPr>
                <w:rFonts w:hint="eastAsia" w:ascii="仿宋_GB2312" w:eastAsia="仿宋_GB2312"/>
                <w:b/>
              </w:rPr>
              <w:t>指标值</w:t>
            </w:r>
          </w:p>
        </w:tc>
        <w:tc>
          <w:tcPr>
            <w:tcW w:w="949" w:type="dxa"/>
            <w:vMerge w:val="restart"/>
            <w:vAlign w:val="center"/>
          </w:tcPr>
          <w:p>
            <w:pPr>
              <w:widowControl/>
              <w:adjustRightInd w:val="0"/>
              <w:snapToGrid w:val="0"/>
              <w:jc w:val="center"/>
              <w:rPr>
                <w:rFonts w:ascii="仿宋_GB2312" w:eastAsia="仿宋_GB2312"/>
                <w:b/>
              </w:rPr>
            </w:pPr>
            <w:r>
              <w:rPr>
                <w:rFonts w:hint="eastAsia" w:ascii="仿宋_GB2312" w:eastAsia="仿宋_GB2312"/>
                <w:b/>
              </w:rPr>
              <w:t>指标值</w:t>
            </w:r>
          </w:p>
          <w:p>
            <w:pPr>
              <w:widowControl/>
              <w:adjustRightInd w:val="0"/>
              <w:snapToGrid w:val="0"/>
              <w:jc w:val="center"/>
              <w:rPr>
                <w:rFonts w:ascii="仿宋_GB2312" w:eastAsia="仿宋_GB2312"/>
                <w:b/>
              </w:rPr>
            </w:pPr>
            <w:r>
              <w:rPr>
                <w:rFonts w:hint="eastAsia" w:ascii="仿宋_GB2312" w:eastAsia="仿宋_GB2312"/>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86" w:type="dxa"/>
            <w:vMerge w:val="continue"/>
            <w:vAlign w:val="center"/>
          </w:tcPr>
          <w:p>
            <w:pPr>
              <w:rPr>
                <w:rFonts w:ascii="仿宋_GB2312" w:eastAsia="仿宋_GB2312"/>
              </w:rPr>
            </w:pPr>
          </w:p>
        </w:tc>
        <w:tc>
          <w:tcPr>
            <w:tcW w:w="1007" w:type="dxa"/>
            <w:vMerge w:val="continue"/>
            <w:vAlign w:val="center"/>
          </w:tcPr>
          <w:p>
            <w:pPr>
              <w:rPr>
                <w:rFonts w:ascii="仿宋_GB2312" w:eastAsia="仿宋_GB2312"/>
              </w:rPr>
            </w:pPr>
          </w:p>
        </w:tc>
        <w:tc>
          <w:tcPr>
            <w:tcW w:w="2835" w:type="dxa"/>
            <w:vMerge w:val="continue"/>
            <w:vAlign w:val="center"/>
          </w:tcPr>
          <w:p>
            <w:pPr>
              <w:rPr>
                <w:rFonts w:ascii="仿宋_GB2312" w:eastAsia="仿宋_GB2312"/>
              </w:rPr>
            </w:pPr>
          </w:p>
        </w:tc>
        <w:tc>
          <w:tcPr>
            <w:tcW w:w="2977" w:type="dxa"/>
            <w:vMerge w:val="continue"/>
            <w:vAlign w:val="center"/>
          </w:tcPr>
          <w:p>
            <w:pPr>
              <w:rPr>
                <w:rFonts w:ascii="仿宋_GB2312" w:eastAsia="仿宋_GB2312"/>
              </w:rPr>
            </w:pPr>
          </w:p>
        </w:tc>
        <w:tc>
          <w:tcPr>
            <w:tcW w:w="2410" w:type="dxa"/>
            <w:vAlign w:val="center"/>
          </w:tcPr>
          <w:p>
            <w:pPr>
              <w:rPr>
                <w:rFonts w:ascii="仿宋_GB2312" w:eastAsia="仿宋_GB2312"/>
              </w:rPr>
            </w:pPr>
          </w:p>
        </w:tc>
        <w:tc>
          <w:tcPr>
            <w:tcW w:w="567" w:type="dxa"/>
            <w:vAlign w:val="center"/>
          </w:tcPr>
          <w:p>
            <w:pPr>
              <w:widowControl/>
              <w:adjustRightInd w:val="0"/>
              <w:snapToGrid w:val="0"/>
              <w:jc w:val="center"/>
              <w:rPr>
                <w:rFonts w:ascii="仿宋_GB2312" w:eastAsia="仿宋_GB2312"/>
                <w:b/>
              </w:rPr>
            </w:pPr>
            <w:r>
              <w:rPr>
                <w:rFonts w:hint="eastAsia" w:ascii="仿宋_GB2312" w:eastAsia="仿宋_GB2312"/>
                <w:b/>
              </w:rPr>
              <w:t>符号</w:t>
            </w:r>
          </w:p>
        </w:tc>
        <w:tc>
          <w:tcPr>
            <w:tcW w:w="709" w:type="dxa"/>
            <w:vAlign w:val="center"/>
          </w:tcPr>
          <w:p>
            <w:pPr>
              <w:widowControl/>
              <w:adjustRightInd w:val="0"/>
              <w:snapToGrid w:val="0"/>
              <w:jc w:val="center"/>
              <w:rPr>
                <w:rFonts w:ascii="仿宋_GB2312" w:eastAsia="仿宋_GB2312"/>
                <w:b/>
              </w:rPr>
            </w:pPr>
            <w:r>
              <w:rPr>
                <w:rFonts w:hint="eastAsia" w:ascii="仿宋_GB2312" w:eastAsia="仿宋_GB2312"/>
                <w:b/>
              </w:rPr>
              <w:t>值</w:t>
            </w:r>
          </w:p>
        </w:tc>
        <w:tc>
          <w:tcPr>
            <w:tcW w:w="567" w:type="dxa"/>
            <w:vAlign w:val="center"/>
          </w:tcPr>
          <w:p>
            <w:pPr>
              <w:widowControl/>
              <w:adjustRightInd w:val="0"/>
              <w:snapToGrid w:val="0"/>
              <w:jc w:val="center"/>
              <w:rPr>
                <w:rFonts w:ascii="仿宋_GB2312" w:eastAsia="仿宋_GB2312"/>
                <w:b/>
              </w:rPr>
            </w:pPr>
            <w:r>
              <w:rPr>
                <w:rFonts w:hint="eastAsia" w:ascii="仿宋_GB2312" w:eastAsia="仿宋_GB2312"/>
                <w:b/>
              </w:rPr>
              <w:t>单位</w:t>
            </w:r>
          </w:p>
        </w:tc>
        <w:tc>
          <w:tcPr>
            <w:tcW w:w="949"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86" w:type="dxa"/>
            <w:vMerge w:val="restart"/>
            <w:vAlign w:val="center"/>
          </w:tcPr>
          <w:p>
            <w:pPr>
              <w:widowControl/>
              <w:adjustRightInd w:val="0"/>
              <w:snapToGrid w:val="0"/>
              <w:jc w:val="center"/>
              <w:rPr>
                <w:rFonts w:ascii="仿宋_GB2312" w:eastAsia="仿宋_GB2312"/>
              </w:rPr>
            </w:pPr>
            <w:r>
              <w:rPr>
                <w:rFonts w:hint="eastAsia" w:ascii="仿宋_GB2312" w:eastAsia="仿宋_GB2312"/>
              </w:rPr>
              <w:t>部门产出</w:t>
            </w: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数量</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本年度开展的主要工作的数量</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w:t>
            </w:r>
            <w:r>
              <w:rPr>
                <w:rFonts w:ascii="仿宋_GB2312" w:eastAsia="仿宋_GB2312"/>
              </w:rPr>
              <w:t>2021</w:t>
            </w:r>
            <w:r>
              <w:rPr>
                <w:rFonts w:hint="eastAsia" w:ascii="仿宋_GB2312" w:eastAsia="仿宋_GB2312"/>
              </w:rPr>
              <w:t>年度开展的主要工作的数量</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全镇</w:t>
            </w:r>
            <w:r>
              <w:rPr>
                <w:rFonts w:ascii="仿宋_GB2312" w:eastAsia="仿宋_GB2312"/>
              </w:rPr>
              <w:t>2021</w:t>
            </w:r>
            <w:r>
              <w:rPr>
                <w:rFonts w:hint="eastAsia" w:ascii="仿宋_GB2312" w:eastAsia="仿宋_GB2312"/>
              </w:rPr>
              <w:t>年度开展的主要工作的数量</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9</w:t>
            </w:r>
          </w:p>
        </w:tc>
        <w:tc>
          <w:tcPr>
            <w:tcW w:w="567" w:type="dxa"/>
            <w:vAlign w:val="center"/>
          </w:tcPr>
          <w:p>
            <w:pPr>
              <w:widowControl/>
              <w:adjustRightInd w:val="0"/>
              <w:snapToGrid w:val="0"/>
              <w:jc w:val="center"/>
              <w:rPr>
                <w:rFonts w:ascii="仿宋_GB2312" w:eastAsia="仿宋_GB2312" w:cs="宋体"/>
              </w:rPr>
            </w:pPr>
            <w:r>
              <w:rPr>
                <w:rFonts w:hint="eastAsia" w:ascii="仿宋_GB2312" w:hAnsi="宋体" w:eastAsia="仿宋_GB2312" w:cs="宋体"/>
              </w:rPr>
              <w:t>个</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9"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质量</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各项主要工作开展落实率</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反映全镇各项主要工作开展的落实情况</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各项主要工作开展落实率</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90</w:t>
            </w:r>
          </w:p>
        </w:tc>
        <w:tc>
          <w:tcPr>
            <w:tcW w:w="567" w:type="dxa"/>
            <w:vAlign w:val="center"/>
          </w:tcPr>
          <w:p>
            <w:pPr>
              <w:widowControl/>
              <w:adjustRightInd w:val="0"/>
              <w:snapToGrid w:val="0"/>
              <w:jc w:val="center"/>
              <w:rPr>
                <w:rFonts w:ascii="仿宋_GB2312" w:eastAsia="仿宋_GB2312"/>
              </w:rPr>
            </w:pPr>
            <w:r>
              <w:rPr>
                <w:rFonts w:ascii="仿宋_GB2312" w:eastAsia="仿宋_GB2312"/>
              </w:rPr>
              <w:t>%</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时效</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主要工作开展时限性</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反映全镇主要工作开展的时限</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主要工作开展时限性</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90</w:t>
            </w:r>
          </w:p>
        </w:tc>
        <w:tc>
          <w:tcPr>
            <w:tcW w:w="567" w:type="dxa"/>
            <w:vAlign w:val="center"/>
          </w:tcPr>
          <w:p>
            <w:pPr>
              <w:widowControl/>
              <w:adjustRightInd w:val="0"/>
              <w:snapToGrid w:val="0"/>
              <w:jc w:val="center"/>
              <w:rPr>
                <w:rFonts w:ascii="仿宋_GB2312" w:eastAsia="仿宋_GB2312"/>
              </w:rPr>
            </w:pPr>
            <w:r>
              <w:rPr>
                <w:rFonts w:ascii="仿宋_GB2312" w:eastAsia="仿宋_GB2312"/>
              </w:rPr>
              <w:t>%</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4"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成本</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成本节约量</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反映开展主要工作的成本节约量</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成本节约量</w:t>
            </w:r>
          </w:p>
        </w:tc>
        <w:tc>
          <w:tcPr>
            <w:tcW w:w="567" w:type="dxa"/>
            <w:vAlign w:val="center"/>
          </w:tcPr>
          <w:p>
            <w:pPr>
              <w:widowControl/>
              <w:adjustRightInd w:val="0"/>
              <w:snapToGrid w:val="0"/>
              <w:jc w:val="center"/>
              <w:rPr>
                <w:rFonts w:ascii="仿宋_GB2312" w:eastAsia="仿宋_GB2312"/>
              </w:rPr>
            </w:pPr>
            <w:r>
              <w:rPr>
                <w:rFonts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270.88</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万元</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3" w:hRule="atLeast"/>
          <w:jc w:val="center"/>
        </w:trPr>
        <w:tc>
          <w:tcPr>
            <w:tcW w:w="586" w:type="dxa"/>
            <w:vMerge w:val="restart"/>
            <w:vAlign w:val="center"/>
          </w:tcPr>
          <w:p>
            <w:pPr>
              <w:adjustRightInd w:val="0"/>
              <w:snapToGrid w:val="0"/>
              <w:jc w:val="center"/>
              <w:rPr>
                <w:rFonts w:ascii="仿宋_GB2312" w:eastAsia="仿宋_GB2312"/>
              </w:rPr>
            </w:pPr>
            <w:r>
              <w:rPr>
                <w:rFonts w:hint="eastAsia" w:ascii="仿宋_GB2312" w:eastAsia="仿宋_GB2312"/>
              </w:rPr>
              <w:t>部门效果</w:t>
            </w: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社会</w:t>
            </w:r>
          </w:p>
          <w:p>
            <w:pPr>
              <w:widowControl/>
              <w:adjustRightInd w:val="0"/>
              <w:snapToGrid w:val="0"/>
              <w:jc w:val="center"/>
              <w:rPr>
                <w:rFonts w:ascii="仿宋_GB2312" w:eastAsia="仿宋_GB2312"/>
              </w:rPr>
            </w:pPr>
            <w:r>
              <w:rPr>
                <w:rFonts w:hint="eastAsia" w:ascii="仿宋_GB2312" w:eastAsia="仿宋_GB2312"/>
              </w:rPr>
              <w:t>效益</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辖区居民生活水平显著提升</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反映辖区居民生活水平提升情况</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辖区居民生活水平显著提升</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文字描述</w:t>
            </w:r>
          </w:p>
        </w:tc>
        <w:tc>
          <w:tcPr>
            <w:tcW w:w="709" w:type="dxa"/>
            <w:vAlign w:val="center"/>
          </w:tcPr>
          <w:p>
            <w:pPr>
              <w:widowControl/>
              <w:adjustRightInd w:val="0"/>
              <w:snapToGrid w:val="0"/>
              <w:jc w:val="center"/>
              <w:rPr>
                <w:rFonts w:ascii="仿宋_GB2312" w:eastAsia="仿宋_GB2312"/>
              </w:rPr>
            </w:pP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显著提升</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经济</w:t>
            </w:r>
          </w:p>
          <w:p>
            <w:pPr>
              <w:widowControl/>
              <w:adjustRightInd w:val="0"/>
              <w:snapToGrid w:val="0"/>
              <w:jc w:val="center"/>
              <w:rPr>
                <w:rFonts w:ascii="仿宋_GB2312" w:eastAsia="仿宋_GB2312"/>
              </w:rPr>
            </w:pPr>
            <w:r>
              <w:rPr>
                <w:rFonts w:hint="eastAsia" w:ascii="仿宋_GB2312" w:eastAsia="仿宋_GB2312"/>
              </w:rPr>
              <w:t>效益</w:t>
            </w:r>
          </w:p>
        </w:tc>
        <w:tc>
          <w:tcPr>
            <w:tcW w:w="2835" w:type="dxa"/>
            <w:vAlign w:val="center"/>
          </w:tcPr>
          <w:p>
            <w:pPr>
              <w:widowControl/>
              <w:adjustRightInd w:val="0"/>
              <w:snapToGrid w:val="0"/>
              <w:jc w:val="center"/>
              <w:rPr>
                <w:rFonts w:ascii="仿宋_GB2312" w:eastAsia="仿宋_GB2312"/>
              </w:rPr>
            </w:pPr>
            <w:r>
              <w:rPr>
                <w:rFonts w:hint="eastAsia" w:ascii="仿宋_GB2312" w:eastAsia="仿宋_GB2312"/>
              </w:rPr>
              <w:t>全镇经济发展稳步提升</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反映全镇经济发展水平提升情况</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全镇经济发展稳步提升</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文字描述</w:t>
            </w:r>
          </w:p>
        </w:tc>
        <w:tc>
          <w:tcPr>
            <w:tcW w:w="709" w:type="dxa"/>
            <w:vAlign w:val="center"/>
          </w:tcPr>
          <w:p>
            <w:pPr>
              <w:widowControl/>
              <w:adjustRightInd w:val="0"/>
              <w:snapToGrid w:val="0"/>
              <w:jc w:val="center"/>
              <w:rPr>
                <w:rFonts w:ascii="仿宋_GB2312" w:eastAsia="仿宋_GB2312"/>
              </w:rPr>
            </w:pP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稳步提升</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2"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生态</w:t>
            </w:r>
          </w:p>
          <w:p>
            <w:pPr>
              <w:widowControl/>
              <w:adjustRightInd w:val="0"/>
              <w:snapToGrid w:val="0"/>
              <w:jc w:val="center"/>
              <w:rPr>
                <w:rFonts w:ascii="仿宋_GB2312" w:eastAsia="仿宋_GB2312"/>
              </w:rPr>
            </w:pPr>
            <w:r>
              <w:rPr>
                <w:rFonts w:hint="eastAsia" w:ascii="仿宋_GB2312" w:eastAsia="仿宋_GB2312"/>
              </w:rPr>
              <w:t>效益</w:t>
            </w:r>
          </w:p>
        </w:tc>
        <w:tc>
          <w:tcPr>
            <w:tcW w:w="2835" w:type="dxa"/>
            <w:vAlign w:val="center"/>
          </w:tcPr>
          <w:p>
            <w:pPr>
              <w:jc w:val="center"/>
              <w:rPr>
                <w:rFonts w:ascii="仿宋_GB2312" w:eastAsia="仿宋_GB2312"/>
              </w:rPr>
            </w:pPr>
            <w:r>
              <w:rPr>
                <w:rFonts w:hint="eastAsia" w:ascii="仿宋_GB2312" w:eastAsia="仿宋_GB2312"/>
              </w:rPr>
              <w:t>辖区生态环境显著提升情况</w:t>
            </w:r>
          </w:p>
          <w:p>
            <w:pPr>
              <w:widowControl/>
              <w:adjustRightInd w:val="0"/>
              <w:snapToGrid w:val="0"/>
              <w:jc w:val="center"/>
              <w:rPr>
                <w:rFonts w:ascii="仿宋_GB2312" w:eastAsia="仿宋_GB2312"/>
              </w:rPr>
            </w:pP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反映全镇生态环境提升</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辖区生态环境显著提升</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文字描述</w:t>
            </w:r>
          </w:p>
        </w:tc>
        <w:tc>
          <w:tcPr>
            <w:tcW w:w="709" w:type="dxa"/>
            <w:vAlign w:val="center"/>
          </w:tcPr>
          <w:p>
            <w:pPr>
              <w:widowControl/>
              <w:adjustRightInd w:val="0"/>
              <w:snapToGrid w:val="0"/>
              <w:jc w:val="center"/>
              <w:rPr>
                <w:rFonts w:ascii="仿宋_GB2312" w:eastAsia="仿宋_GB2312"/>
              </w:rPr>
            </w:pP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显著提升</w:t>
            </w: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2" w:hRule="atLeast"/>
          <w:jc w:val="center"/>
        </w:trPr>
        <w:tc>
          <w:tcPr>
            <w:tcW w:w="586" w:type="dxa"/>
            <w:vMerge w:val="continue"/>
            <w:vAlign w:val="center"/>
          </w:tcPr>
          <w:p>
            <w:pPr>
              <w:rPr>
                <w:rFonts w:ascii="仿宋_GB2312" w:eastAsia="仿宋_GB2312"/>
              </w:rPr>
            </w:pPr>
          </w:p>
        </w:tc>
        <w:tc>
          <w:tcPr>
            <w:tcW w:w="1007" w:type="dxa"/>
            <w:vAlign w:val="center"/>
          </w:tcPr>
          <w:p>
            <w:pPr>
              <w:adjustRightInd w:val="0"/>
              <w:snapToGrid w:val="0"/>
              <w:jc w:val="center"/>
              <w:rPr>
                <w:rFonts w:ascii="仿宋_GB2312" w:eastAsia="仿宋_GB2312"/>
              </w:rPr>
            </w:pPr>
            <w:r>
              <w:rPr>
                <w:rFonts w:hint="eastAsia" w:ascii="仿宋_GB2312" w:eastAsia="仿宋_GB2312"/>
              </w:rPr>
              <w:t>可持续影响</w:t>
            </w:r>
          </w:p>
        </w:tc>
        <w:tc>
          <w:tcPr>
            <w:tcW w:w="2835" w:type="dxa"/>
            <w:vAlign w:val="center"/>
          </w:tcPr>
          <w:p>
            <w:pPr>
              <w:widowControl/>
              <w:adjustRightInd w:val="0"/>
              <w:snapToGrid w:val="0"/>
              <w:rPr>
                <w:rFonts w:ascii="仿宋_GB2312" w:eastAsia="仿宋_GB2312"/>
              </w:rPr>
            </w:pPr>
          </w:p>
        </w:tc>
        <w:tc>
          <w:tcPr>
            <w:tcW w:w="2977" w:type="dxa"/>
            <w:vAlign w:val="center"/>
          </w:tcPr>
          <w:p>
            <w:pPr>
              <w:widowControl/>
              <w:adjustRightInd w:val="0"/>
              <w:snapToGrid w:val="0"/>
              <w:rPr>
                <w:rFonts w:ascii="仿宋_GB2312" w:eastAsia="仿宋_GB2312"/>
              </w:rPr>
            </w:pPr>
          </w:p>
        </w:tc>
        <w:tc>
          <w:tcPr>
            <w:tcW w:w="2410" w:type="dxa"/>
            <w:vAlign w:val="center"/>
          </w:tcPr>
          <w:p>
            <w:pPr>
              <w:widowControl/>
              <w:adjustRightInd w:val="0"/>
              <w:snapToGrid w:val="0"/>
              <w:rPr>
                <w:rFonts w:ascii="仿宋_GB2312" w:eastAsia="仿宋_GB2312"/>
              </w:rPr>
            </w:pPr>
          </w:p>
        </w:tc>
        <w:tc>
          <w:tcPr>
            <w:tcW w:w="567" w:type="dxa"/>
            <w:vAlign w:val="center"/>
          </w:tcPr>
          <w:p>
            <w:pPr>
              <w:widowControl/>
              <w:adjustRightInd w:val="0"/>
              <w:snapToGrid w:val="0"/>
              <w:jc w:val="center"/>
              <w:rPr>
                <w:rFonts w:ascii="仿宋_GB2312" w:eastAsia="仿宋_GB2312"/>
              </w:rPr>
            </w:pPr>
          </w:p>
        </w:tc>
        <w:tc>
          <w:tcPr>
            <w:tcW w:w="709" w:type="dxa"/>
            <w:vAlign w:val="center"/>
          </w:tcPr>
          <w:p>
            <w:pPr>
              <w:widowControl/>
              <w:adjustRightInd w:val="0"/>
              <w:snapToGrid w:val="0"/>
              <w:jc w:val="center"/>
              <w:rPr>
                <w:rFonts w:ascii="仿宋_GB2312" w:eastAsia="仿宋_GB2312"/>
              </w:rPr>
            </w:pPr>
          </w:p>
        </w:tc>
        <w:tc>
          <w:tcPr>
            <w:tcW w:w="567" w:type="dxa"/>
            <w:vAlign w:val="center"/>
          </w:tcPr>
          <w:p>
            <w:pPr>
              <w:widowControl/>
              <w:adjustRightInd w:val="0"/>
              <w:snapToGrid w:val="0"/>
              <w:jc w:val="center"/>
              <w:rPr>
                <w:rFonts w:ascii="仿宋_GB2312" w:eastAsia="仿宋_GB2312"/>
              </w:rPr>
            </w:pPr>
          </w:p>
        </w:tc>
        <w:tc>
          <w:tcPr>
            <w:tcW w:w="949" w:type="dxa"/>
            <w:vAlign w:val="center"/>
          </w:tcPr>
          <w:p>
            <w:pPr>
              <w:widowControl/>
              <w:adjustRightInd w:val="0"/>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4" w:hRule="atLeast"/>
          <w:jc w:val="center"/>
        </w:trPr>
        <w:tc>
          <w:tcPr>
            <w:tcW w:w="586" w:type="dxa"/>
            <w:vMerge w:val="continue"/>
            <w:vAlign w:val="center"/>
          </w:tcPr>
          <w:p>
            <w:pPr>
              <w:rPr>
                <w:rFonts w:ascii="仿宋_GB2312" w:eastAsia="仿宋_GB2312"/>
              </w:rPr>
            </w:pPr>
          </w:p>
        </w:tc>
        <w:tc>
          <w:tcPr>
            <w:tcW w:w="1007" w:type="dxa"/>
            <w:vAlign w:val="center"/>
          </w:tcPr>
          <w:p>
            <w:pPr>
              <w:widowControl/>
              <w:adjustRightInd w:val="0"/>
              <w:snapToGrid w:val="0"/>
              <w:jc w:val="center"/>
              <w:rPr>
                <w:rFonts w:ascii="仿宋_GB2312" w:eastAsia="仿宋_GB2312"/>
              </w:rPr>
            </w:pPr>
            <w:r>
              <w:rPr>
                <w:rFonts w:hint="eastAsia" w:ascii="仿宋_GB2312" w:eastAsia="仿宋_GB2312"/>
              </w:rPr>
              <w:t>满意度</w:t>
            </w:r>
          </w:p>
        </w:tc>
        <w:tc>
          <w:tcPr>
            <w:tcW w:w="2835" w:type="dxa"/>
            <w:vAlign w:val="center"/>
          </w:tcPr>
          <w:p>
            <w:pPr>
              <w:jc w:val="center"/>
              <w:rPr>
                <w:rFonts w:ascii="仿宋_GB2312" w:eastAsia="仿宋_GB2312"/>
              </w:rPr>
            </w:pPr>
            <w:r>
              <w:rPr>
                <w:rFonts w:hint="eastAsia" w:ascii="仿宋_GB2312" w:eastAsia="仿宋_GB2312"/>
              </w:rPr>
              <w:t>群众满意度</w:t>
            </w:r>
          </w:p>
        </w:tc>
        <w:tc>
          <w:tcPr>
            <w:tcW w:w="2977" w:type="dxa"/>
            <w:vAlign w:val="center"/>
          </w:tcPr>
          <w:p>
            <w:pPr>
              <w:widowControl/>
              <w:adjustRightInd w:val="0"/>
              <w:snapToGrid w:val="0"/>
              <w:jc w:val="center"/>
              <w:rPr>
                <w:rFonts w:ascii="仿宋_GB2312" w:eastAsia="仿宋_GB2312"/>
              </w:rPr>
            </w:pPr>
            <w:r>
              <w:rPr>
                <w:rFonts w:hint="eastAsia" w:ascii="仿宋_GB2312" w:eastAsia="仿宋_GB2312"/>
              </w:rPr>
              <w:t>反映群众满意度</w:t>
            </w:r>
          </w:p>
        </w:tc>
        <w:tc>
          <w:tcPr>
            <w:tcW w:w="2410" w:type="dxa"/>
            <w:vAlign w:val="center"/>
          </w:tcPr>
          <w:p>
            <w:pPr>
              <w:widowControl/>
              <w:adjustRightInd w:val="0"/>
              <w:snapToGrid w:val="0"/>
              <w:jc w:val="center"/>
              <w:rPr>
                <w:rFonts w:ascii="仿宋_GB2312" w:eastAsia="仿宋_GB2312"/>
              </w:rPr>
            </w:pPr>
            <w:r>
              <w:rPr>
                <w:rFonts w:hint="eastAsia" w:ascii="仿宋_GB2312" w:eastAsia="仿宋_GB2312"/>
              </w:rPr>
              <w:t>群众满意度</w:t>
            </w:r>
          </w:p>
        </w:tc>
        <w:tc>
          <w:tcPr>
            <w:tcW w:w="567" w:type="dxa"/>
            <w:vAlign w:val="center"/>
          </w:tcPr>
          <w:p>
            <w:pPr>
              <w:widowControl/>
              <w:adjustRightInd w:val="0"/>
              <w:snapToGrid w:val="0"/>
              <w:jc w:val="center"/>
              <w:rPr>
                <w:rFonts w:ascii="仿宋_GB2312" w:eastAsia="仿宋_GB2312"/>
              </w:rPr>
            </w:pPr>
            <w:r>
              <w:rPr>
                <w:rFonts w:hint="eastAsia" w:ascii="仿宋_GB2312" w:eastAsia="仿宋_GB2312"/>
              </w:rPr>
              <w:t>≥</w:t>
            </w:r>
          </w:p>
        </w:tc>
        <w:tc>
          <w:tcPr>
            <w:tcW w:w="709" w:type="dxa"/>
            <w:vAlign w:val="center"/>
          </w:tcPr>
          <w:p>
            <w:pPr>
              <w:widowControl/>
              <w:adjustRightInd w:val="0"/>
              <w:snapToGrid w:val="0"/>
              <w:jc w:val="center"/>
              <w:rPr>
                <w:rFonts w:ascii="仿宋_GB2312" w:eastAsia="仿宋_GB2312"/>
              </w:rPr>
            </w:pPr>
            <w:r>
              <w:rPr>
                <w:rFonts w:ascii="仿宋_GB2312" w:eastAsia="仿宋_GB2312"/>
              </w:rPr>
              <w:t>90</w:t>
            </w:r>
          </w:p>
        </w:tc>
        <w:tc>
          <w:tcPr>
            <w:tcW w:w="567" w:type="dxa"/>
            <w:vAlign w:val="center"/>
          </w:tcPr>
          <w:p>
            <w:pPr>
              <w:jc w:val="center"/>
              <w:rPr>
                <w:rFonts w:ascii="仿宋_GB2312" w:eastAsia="仿宋_GB2312"/>
              </w:rPr>
            </w:pPr>
            <w:r>
              <w:rPr>
                <w:rFonts w:ascii="仿宋_GB2312" w:eastAsia="仿宋_GB2312"/>
              </w:rPr>
              <w:t>%</w:t>
            </w:r>
          </w:p>
          <w:p>
            <w:pPr>
              <w:widowControl/>
              <w:adjustRightInd w:val="0"/>
              <w:snapToGrid w:val="0"/>
              <w:jc w:val="center"/>
              <w:rPr>
                <w:rFonts w:ascii="仿宋_GB2312" w:eastAsia="仿宋_GB2312"/>
              </w:rPr>
            </w:pPr>
          </w:p>
        </w:tc>
        <w:tc>
          <w:tcPr>
            <w:tcW w:w="949" w:type="dxa"/>
            <w:vAlign w:val="center"/>
          </w:tcPr>
          <w:p>
            <w:pPr>
              <w:widowControl/>
              <w:adjustRightInd w:val="0"/>
              <w:snapToGrid w:val="0"/>
              <w:jc w:val="center"/>
              <w:rPr>
                <w:rFonts w:ascii="仿宋_GB2312" w:eastAsia="仿宋_GB2312"/>
              </w:rPr>
            </w:pPr>
            <w:r>
              <w:rPr>
                <w:rFonts w:hint="eastAsia" w:ascii="仿宋_GB2312" w:eastAsia="仿宋_GB2312"/>
              </w:rPr>
              <w:t>实际调查</w:t>
            </w:r>
          </w:p>
        </w:tc>
      </w:tr>
    </w:tbl>
    <w:p>
      <w:pPr>
        <w:spacing w:line="584" w:lineRule="exact"/>
        <w:ind w:firstLine="640" w:firstLineChars="200"/>
        <w:rPr>
          <w:rFonts w:ascii="仿宋_GB2312" w:hAnsi="Times New Roman" w:eastAsia="仿宋_GB2312" w:cs="Times New Roman"/>
          <w:sz w:val="32"/>
          <w:szCs w:val="32"/>
        </w:rPr>
      </w:pPr>
    </w:p>
    <w:p>
      <w:pPr>
        <w:ind w:firstLine="640" w:firstLineChars="200"/>
        <w:jc w:val="left"/>
        <w:outlineLvl w:val="1"/>
        <w:rPr>
          <w:rFonts w:ascii="仿宋_GB2312" w:hAnsi="Times New Roman" w:eastAsia="仿宋_GB2312" w:cs="Times New Roman"/>
          <w:sz w:val="32"/>
          <w:szCs w:val="32"/>
        </w:rPr>
      </w:pPr>
    </w:p>
    <w:p>
      <w:pPr>
        <w:ind w:firstLine="640" w:firstLineChars="200"/>
        <w:jc w:val="left"/>
        <w:outlineLvl w:val="1"/>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第二部分</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资金绩效目标</w:t>
      </w:r>
    </w:p>
    <w:p>
      <w:pPr>
        <w:ind w:firstLine="560" w:firstLineChars="200"/>
        <w:jc w:val="left"/>
        <w:outlineLvl w:val="1"/>
        <w:rPr>
          <w:rFonts w:ascii="仿宋_GB2312" w:hAnsi="Times New Roman" w:eastAsia="仿宋_GB2312" w:cs="Times New Roman"/>
          <w:sz w:val="28"/>
        </w:rPr>
      </w:pPr>
      <w:r>
        <w:rPr>
          <w:rFonts w:ascii="仿宋_GB2312" w:hAnsi="Times New Roman" w:eastAsia="仿宋_GB2312" w:cs="Times New Roman"/>
          <w:sz w:val="28"/>
        </w:rPr>
        <w:t>1.2022</w:t>
      </w:r>
      <w:r>
        <w:rPr>
          <w:rFonts w:hint="eastAsia" w:ascii="仿宋_GB2312" w:hAnsi="宋体" w:eastAsia="仿宋_GB2312" w:cs="宋体"/>
          <w:sz w:val="28"/>
        </w:rPr>
        <w:t>年安监经费项目绩效目标表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540"/>
        <w:gridCol w:w="1312"/>
        <w:gridCol w:w="1658"/>
        <w:gridCol w:w="1965"/>
        <w:gridCol w:w="1560"/>
        <w:gridCol w:w="1048"/>
        <w:gridCol w:w="797"/>
        <w:gridCol w:w="1396"/>
        <w:gridCol w:w="149"/>
        <w:gridCol w:w="1568"/>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13102522P00897810001X    2022</w:t>
            </w:r>
            <w:r>
              <w:rPr>
                <w:rFonts w:hint="eastAsia" w:ascii="仿宋_GB2312" w:hAnsi="宋体" w:eastAsia="仿宋_GB2312" w:cs="宋体"/>
                <w:color w:val="000000"/>
                <w:sz w:val="18"/>
                <w:szCs w:val="18"/>
              </w:rPr>
              <w:t>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通过广播、宣传车、发放明白纸、悬挂标语、入户宣传等多种方式，积极宣传相关法律法规、政策，对全镇企业进行不定期巡查，每季度巡查不低于</w:t>
            </w:r>
            <w:r>
              <w:rPr>
                <w:rFonts w:ascii="仿宋_GB2312" w:hAnsi="宋体" w:eastAsia="仿宋_GB2312" w:cs="宋体"/>
                <w:color w:val="000000"/>
                <w:sz w:val="18"/>
                <w:szCs w:val="18"/>
              </w:rPr>
              <w:t>50</w:t>
            </w:r>
            <w:r>
              <w:rPr>
                <w:rFonts w:hint="eastAsia" w:ascii="仿宋_GB2312" w:hAnsi="宋体" w:eastAsia="仿宋_GB2312" w:cs="宋体"/>
                <w:color w:val="000000"/>
                <w:sz w:val="18"/>
                <w:szCs w:val="18"/>
              </w:rPr>
              <w:t>次。维护全镇安全生产形势稳定，防范事故发生，降低事故发生率，防止重大事故发生。</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通过广播、宣传车、发放明白纸、悬挂标语、入户宣传等多种方式，积极宣传相关法律法规、政策，对全镇企业进行不定期巡查，每季度巡查不低于</w:t>
            </w:r>
            <w:r>
              <w:rPr>
                <w:rFonts w:ascii="仿宋_GB2312" w:hAnsi="宋体" w:eastAsia="仿宋_GB2312" w:cs="宋体"/>
                <w:color w:val="000000"/>
                <w:sz w:val="18"/>
                <w:szCs w:val="18"/>
              </w:rPr>
              <w:t>50</w:t>
            </w:r>
            <w:r>
              <w:rPr>
                <w:rFonts w:hint="eastAsia" w:ascii="仿宋_GB2312" w:hAnsi="宋体" w:eastAsia="仿宋_GB2312" w:cs="宋体"/>
                <w:color w:val="000000"/>
                <w:sz w:val="18"/>
                <w:szCs w:val="18"/>
              </w:rPr>
              <w:t>次。维护全镇安全生产形势稳定，防范事故发生，降低事故发生率，防止重大事故发生。</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5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5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巡查次数</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反映年度巡查次数</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安全生产标准达标率</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反映达标的安全生产企业的比率</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事故处理及时率</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反映事故处理及时率</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企业安全生产生活意识提升情况</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反映企业安全生产意识提升情况</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显著提升</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项目后期管护延续性</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企业员工规范操作</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长期</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受益企业满意率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反映企业受益群体的满意度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受益企业员工满意率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反映企业员工受益群体的满意度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96%</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bl>
    <w:p>
      <w:pPr>
        <w:spacing w:line="14" w:lineRule="exact"/>
        <w:ind w:firstLine="420" w:firstLineChars="200"/>
        <w:jc w:val="center"/>
        <w:rPr>
          <w:rFonts w:ascii="仿宋_GB2312" w:hAnsi="Times New Roman" w:eastAsia="仿宋_GB2312" w:cs="Times New Roman"/>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2.2022</w:t>
      </w:r>
      <w:r>
        <w:rPr>
          <w:rFonts w:hint="eastAsia" w:ascii="仿宋_GB2312" w:hAnsi="宋体" w:eastAsia="仿宋_GB2312" w:cs="宋体"/>
          <w:sz w:val="28"/>
        </w:rPr>
        <w:t>年妇联基层组织建设经费项目绩效目标表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998"/>
        <w:gridCol w:w="262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13102522P00898310001Q    2022</w:t>
            </w:r>
            <w:r>
              <w:rPr>
                <w:rFonts w:hint="eastAsia" w:ascii="仿宋_GB2312" w:hAnsi="宋体" w:eastAsia="仿宋_GB2312" w:cs="宋体"/>
                <w:color w:val="000000"/>
                <w:sz w:val="18"/>
                <w:szCs w:val="18"/>
              </w:rPr>
              <w:t>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用于妇联基层组织建设工作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本项目通过妇联基层组织项目开展，制定的妇联组织建设规划，使全镇形成纵横交错的妇女组织网络，通过</w:t>
            </w:r>
            <w:r>
              <w:rPr>
                <w:rFonts w:hint="eastAsia" w:ascii="仿宋_GB2312" w:hAnsi="宋体" w:eastAsia="仿宋_GB2312" w:cs="宋体"/>
                <w:color w:val="000000"/>
                <w:kern w:val="0"/>
                <w:sz w:val="18"/>
                <w:szCs w:val="18"/>
              </w:rPr>
              <w:t>帮助镇区内解决妇女问题</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个以上，举办评选活动次数</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次，使</w:t>
            </w:r>
            <w:r>
              <w:rPr>
                <w:rFonts w:hint="eastAsia" w:ascii="仿宋_GB2312" w:hAnsi="宋体" w:eastAsia="仿宋_GB2312" w:cs="宋体"/>
                <w:color w:val="000000"/>
                <w:sz w:val="18"/>
                <w:szCs w:val="18"/>
              </w:rPr>
              <w:t>妇女干部队伍素质明显提高，把妇女发展作为一项长期性的建设工作，充分调动妇女的积极性，妇女基层组织建设进一步完善。</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4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反映镇帮助镇区内解决妇女问题的数量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sz w:val="18"/>
                <w:szCs w:val="18"/>
              </w:rPr>
            </w:pPr>
            <w:r>
              <w:rPr>
                <w:rFonts w:hint="eastAsia" w:ascii="仿宋_GB2312" w:hAnsi="宋体" w:eastAsia="仿宋_GB2312" w:cs="宋体"/>
                <w:sz w:val="18"/>
                <w:szCs w:val="18"/>
              </w:rPr>
              <w:t>数量指标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举办评选活动次数</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反映当年举办活动次数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开展活动质量达标率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考核结果</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按期完成的帮助解决问题计划的情况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促进妇女就业率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反映促进妇女就业情况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促进</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妇女后备干部建设情况</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良好</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历史测算</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公众满意度</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spacing w:line="14" w:lineRule="exact"/>
        <w:ind w:firstLine="420" w:firstLineChars="200"/>
        <w:jc w:val="center"/>
        <w:rPr>
          <w:rFonts w:ascii="仿宋_GB2312" w:hAnsi="Times New Roman" w:eastAsia="仿宋_GB2312" w:cs="Times New Roman"/>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3.2022</w:t>
      </w:r>
      <w:r>
        <w:rPr>
          <w:rFonts w:hint="eastAsia" w:ascii="仿宋_GB2312" w:hAnsi="宋体" w:eastAsia="仿宋_GB2312" w:cs="宋体"/>
          <w:sz w:val="28"/>
        </w:rPr>
        <w:t>年环保经费项目绩效目标表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563"/>
        <w:gridCol w:w="3060"/>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13102522P00897910001K    2022</w:t>
            </w:r>
            <w:r>
              <w:rPr>
                <w:rFonts w:hint="eastAsia" w:ascii="仿宋_GB2312" w:hAnsi="宋体" w:eastAsia="仿宋_GB2312" w:cs="宋体"/>
                <w:color w:val="000000"/>
                <w:sz w:val="18"/>
                <w:szCs w:val="18"/>
              </w:rPr>
              <w:t>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34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用于环保工作。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通过开展环保工作，组织工作专班，开展不低于</w:t>
            </w:r>
            <w:r>
              <w:rPr>
                <w:rFonts w:ascii="仿宋_GB2312" w:hAnsi="宋体" w:eastAsia="仿宋_GB2312" w:cs="宋体"/>
                <w:color w:val="000000"/>
                <w:sz w:val="18"/>
                <w:szCs w:val="18"/>
              </w:rPr>
              <w:t>200</w:t>
            </w:r>
            <w:r>
              <w:rPr>
                <w:rFonts w:hint="eastAsia" w:ascii="仿宋_GB2312" w:hAnsi="宋体" w:eastAsia="仿宋_GB2312" w:cs="宋体"/>
                <w:color w:val="000000"/>
                <w:sz w:val="18"/>
                <w:szCs w:val="18"/>
              </w:rPr>
              <w:t>家次的企业巡查，督促企业落实主体责任，加强大气、水体、机动车污染防治</w:t>
            </w:r>
            <w:r>
              <w:rPr>
                <w:rFonts w:ascii="仿宋_GB2312" w:hAnsi="宋体" w:eastAsia="仿宋_GB2312" w:cs="宋体"/>
                <w:color w:val="000000"/>
                <w:sz w:val="18"/>
                <w:szCs w:val="18"/>
              </w:rPr>
              <w:t>;</w:t>
            </w:r>
            <w:r>
              <w:rPr>
                <w:rFonts w:hint="eastAsia" w:ascii="仿宋_GB2312" w:hAnsi="宋体" w:eastAsia="仿宋_GB2312" w:cs="宋体"/>
                <w:color w:val="000000"/>
                <w:sz w:val="18"/>
                <w:szCs w:val="18"/>
              </w:rPr>
              <w:t>加强企业经营单位固体废弃物、重金属等重点污染治理的防治工作；处置及综合利用的工业固体废物的数量不低于</w:t>
            </w:r>
            <w:r>
              <w:rPr>
                <w:rFonts w:ascii="仿宋_GB2312" w:hAnsi="宋体" w:eastAsia="仿宋_GB2312" w:cs="宋体"/>
                <w:color w:val="000000"/>
                <w:sz w:val="18"/>
                <w:szCs w:val="18"/>
              </w:rPr>
              <w:t>20</w:t>
            </w:r>
            <w:r>
              <w:rPr>
                <w:rFonts w:hint="eastAsia" w:ascii="仿宋_GB2312" w:hAnsi="宋体" w:eastAsia="仿宋_GB2312" w:cs="宋体"/>
                <w:color w:val="000000"/>
                <w:sz w:val="18"/>
                <w:szCs w:val="18"/>
              </w:rPr>
              <w:t>处，增强群众的环保意识，遏制少数散乱污经营户，提升全镇企业经营安全、规范有序</w:t>
            </w:r>
            <w:r>
              <w:rPr>
                <w:rFonts w:hint="eastAsia" w:ascii="仿宋_GB2312" w:eastAsia="仿宋_GB2312" w:cs="??_GB2312"/>
                <w:color w:val="000000"/>
              </w:rPr>
              <w:t>。</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6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6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工业固体废物处置数量</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反映处置及综合利用的工业固体废物的数量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处</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sz w:val="18"/>
                <w:szCs w:val="18"/>
              </w:rPr>
            </w:pPr>
            <w:r>
              <w:rPr>
                <w:rFonts w:hint="eastAsia" w:ascii="仿宋_GB2312" w:hAnsi="宋体" w:eastAsia="仿宋_GB2312" w:cs="宋体"/>
                <w:sz w:val="18"/>
                <w:szCs w:val="18"/>
              </w:rPr>
              <w:t>数量指标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巡查企业数量</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反映巡查企业数量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家次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巡查企业合格率</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工作完成及时性</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反映工作目标按计划的完成情况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受益人口数</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受益人口数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4.1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环保设施使用年限</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环保设施使用年限</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标准文件</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4.2022</w:t>
      </w:r>
      <w:r>
        <w:rPr>
          <w:rFonts w:hint="eastAsia" w:ascii="仿宋_GB2312" w:hAnsi="宋体" w:eastAsia="仿宋_GB2312" w:cs="宋体"/>
          <w:sz w:val="28"/>
        </w:rPr>
        <w:t>年农村环境整治经费项目绩效目标表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503"/>
        <w:gridCol w:w="3120"/>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13102522P00898010001P  2022</w:t>
            </w:r>
            <w:r>
              <w:rPr>
                <w:rFonts w:hint="eastAsia" w:ascii="仿宋_GB2312" w:hAnsi="宋体" w:eastAsia="仿宋_GB2312" w:cs="宋体"/>
                <w:color w:val="000000"/>
                <w:sz w:val="18"/>
                <w:szCs w:val="18"/>
              </w:rPr>
              <w:t>年农村环境整治经费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60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通过农村环境整治工作对辖区内</w:t>
            </w:r>
            <w:r>
              <w:rPr>
                <w:rFonts w:ascii="仿宋_GB2312" w:hAnsi="宋体" w:eastAsia="仿宋_GB2312" w:cs="宋体"/>
                <w:color w:val="000000"/>
                <w:sz w:val="18"/>
                <w:szCs w:val="18"/>
              </w:rPr>
              <w:t>37</w:t>
            </w:r>
            <w:r>
              <w:rPr>
                <w:rFonts w:hint="eastAsia" w:ascii="仿宋_GB2312" w:hAnsi="宋体" w:eastAsia="仿宋_GB2312" w:cs="宋体"/>
                <w:color w:val="000000"/>
                <w:sz w:val="18"/>
                <w:szCs w:val="18"/>
              </w:rPr>
              <w:t>个村街进行大气、水体固体废弃物等污染源的防治，解决影响群众生活和健康较为直接的饮用水安全保障、生活垃圾和污水治理，排查垃圾处理点数量不低于</w:t>
            </w:r>
            <w:r>
              <w:rPr>
                <w:rFonts w:ascii="仿宋_GB2312" w:hAnsi="宋体" w:eastAsia="仿宋_GB2312" w:cs="宋体"/>
                <w:color w:val="000000"/>
                <w:sz w:val="18"/>
                <w:szCs w:val="18"/>
              </w:rPr>
              <w:t>37</w:t>
            </w:r>
            <w:r>
              <w:rPr>
                <w:rFonts w:hint="eastAsia" w:ascii="仿宋_GB2312" w:hAnsi="宋体" w:eastAsia="仿宋_GB2312" w:cs="宋体"/>
                <w:color w:val="000000"/>
                <w:sz w:val="18"/>
                <w:szCs w:val="18"/>
              </w:rPr>
              <w:t>个。</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eastAsia="仿宋_GB2312" w:cs="宋体"/>
                <w:color w:val="000000"/>
                <w:kern w:val="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通过农村环境整治工作对辖区内</w:t>
            </w:r>
            <w:r>
              <w:rPr>
                <w:rFonts w:ascii="仿宋_GB2312" w:hAnsi="宋体" w:eastAsia="仿宋_GB2312" w:cs="宋体"/>
                <w:color w:val="000000"/>
                <w:sz w:val="18"/>
                <w:szCs w:val="18"/>
              </w:rPr>
              <w:t>37</w:t>
            </w:r>
            <w:r>
              <w:rPr>
                <w:rFonts w:hint="eastAsia" w:ascii="仿宋_GB2312" w:hAnsi="宋体" w:eastAsia="仿宋_GB2312" w:cs="宋体"/>
                <w:color w:val="000000"/>
                <w:sz w:val="18"/>
                <w:szCs w:val="18"/>
              </w:rPr>
              <w:t>个村街进行大气、水体固体废弃物等污染源的防治，解决影响群众生活和健康较为直接的饮用水安全保障、生活垃圾和污水治理，排查垃圾处理点数量不低于</w:t>
            </w:r>
            <w:r>
              <w:rPr>
                <w:rFonts w:ascii="仿宋_GB2312" w:hAnsi="宋体" w:eastAsia="仿宋_GB2312" w:cs="宋体"/>
                <w:color w:val="000000"/>
                <w:sz w:val="18"/>
                <w:szCs w:val="18"/>
              </w:rPr>
              <w:t>37</w:t>
            </w:r>
            <w:r>
              <w:rPr>
                <w:rFonts w:hint="eastAsia" w:ascii="仿宋_GB2312" w:hAnsi="宋体" w:eastAsia="仿宋_GB2312" w:cs="宋体"/>
                <w:color w:val="000000"/>
                <w:sz w:val="18"/>
                <w:szCs w:val="18"/>
              </w:rPr>
              <w:t>个。</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9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9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排查垃圾处理点数量</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反映排查村街垃圾处理点数量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37</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环境质量达标率</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反映环境质量达标率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验收报告</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垃圾及时处理性</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垃圾发现及时处理性</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及时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60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受益人口数量</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受益人口数量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4.1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环境提升情况</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反映环境提升情况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改善</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长效管理机制</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健全</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《廊坊市人民政府办公室关于严格农村生活垃圾管理的通知》</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5.2022</w:t>
      </w:r>
      <w:r>
        <w:rPr>
          <w:rFonts w:hint="eastAsia" w:ascii="仿宋_GB2312" w:hAnsi="宋体" w:eastAsia="仿宋_GB2312" w:cs="宋体"/>
          <w:sz w:val="28"/>
        </w:rPr>
        <w:t>年基层党建团建工作经费项目绩效目标表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1148"/>
        <w:gridCol w:w="2475"/>
        <w:gridCol w:w="360"/>
        <w:gridCol w:w="870"/>
        <w:gridCol w:w="630"/>
        <w:gridCol w:w="748"/>
        <w:gridCol w:w="842"/>
        <w:gridCol w:w="1351"/>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13102522P00898110001D    2022</w:t>
            </w:r>
            <w:r>
              <w:rPr>
                <w:rFonts w:hint="eastAsia" w:ascii="仿宋_GB2312" w:hAnsi="宋体" w:eastAsia="仿宋_GB2312" w:cs="宋体"/>
                <w:color w:val="000000"/>
                <w:sz w:val="18"/>
                <w:szCs w:val="18"/>
              </w:rPr>
              <w:t>年基层党建团建工作经费</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2</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通过开展多种形式的党性教育活动和业务培训活动，开展活动不低于</w:t>
            </w:r>
            <w:r>
              <w:rPr>
                <w:rFonts w:ascii="仿宋_GB2312" w:hAnsi="宋体" w:eastAsia="仿宋_GB2312" w:cs="宋体"/>
                <w:color w:val="000000"/>
                <w:sz w:val="18"/>
                <w:szCs w:val="18"/>
              </w:rPr>
              <w:t>20</w:t>
            </w:r>
            <w:r>
              <w:rPr>
                <w:rFonts w:hint="eastAsia" w:ascii="仿宋_GB2312" w:hAnsi="宋体" w:eastAsia="仿宋_GB2312" w:cs="宋体"/>
                <w:color w:val="000000"/>
                <w:sz w:val="18"/>
                <w:szCs w:val="18"/>
              </w:rPr>
              <w:t>次，按照绩效考核标准对党建团建工作进行考核，提高党建团建工作水平，推动建立广泛覆盖、富有活力的基层组织。</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通过开展多种形式的党性教育活动和业务培训活动，开展活动不低于</w:t>
            </w:r>
            <w:r>
              <w:rPr>
                <w:rFonts w:ascii="仿宋_GB2312" w:hAnsi="宋体" w:eastAsia="仿宋_GB2312" w:cs="宋体"/>
                <w:color w:val="000000"/>
                <w:sz w:val="18"/>
                <w:szCs w:val="18"/>
              </w:rPr>
              <w:t>20</w:t>
            </w:r>
            <w:r>
              <w:rPr>
                <w:rFonts w:hint="eastAsia" w:ascii="仿宋_GB2312" w:hAnsi="宋体" w:eastAsia="仿宋_GB2312" w:cs="宋体"/>
                <w:color w:val="000000"/>
                <w:sz w:val="18"/>
                <w:szCs w:val="18"/>
              </w:rPr>
              <w:t>次，按照绩效考核标准对党建团建工作进行考核，提高党建团建工作水平，推动建立广泛覆盖、富有活力的基层组织</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5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30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30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5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30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开展党性教育次数</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反映本年度开展党性教育的次数</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sz w:val="18"/>
                <w:szCs w:val="18"/>
              </w:rPr>
            </w:pPr>
            <w:r>
              <w:rPr>
                <w:rFonts w:hint="eastAsia" w:ascii="仿宋_GB2312" w:hAnsi="宋体" w:eastAsia="仿宋_GB2312" w:cs="宋体"/>
                <w:sz w:val="18"/>
                <w:szCs w:val="18"/>
              </w:rPr>
              <w:t>数量指标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外宣品发放使用量</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反映外宣品的使用程度</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80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考核结果</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党建团建工作考核合格率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反映党建团建工作考核合格率</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考核结果</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党建团建活动的完成及时率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反映党建团建活动的完成及时率</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党建团建政策知识宣传率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反映党员团员对党政知识知晓反映宣传情况</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考核工作</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建立长效管理制度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反映建立长效管理制度是否健全</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健全</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关于《加强新形势下基层党建带团建工作的实施意见》的方案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主管部门满意度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调查中主管部门对单位工作满意度</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公众满意度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调查中公众满意数占总调查人数的比例</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6.2022</w:t>
      </w:r>
      <w:r>
        <w:rPr>
          <w:rFonts w:hint="eastAsia" w:ascii="仿宋_GB2312" w:hAnsi="宋体" w:eastAsia="仿宋_GB2312" w:cs="宋体"/>
          <w:sz w:val="28"/>
        </w:rPr>
        <w:t>年建档立卡脱贫户生产生活补助金项目绩效目标表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608"/>
        <w:gridCol w:w="3015"/>
        <w:gridCol w:w="975"/>
        <w:gridCol w:w="795"/>
        <w:gridCol w:w="838"/>
        <w:gridCol w:w="707"/>
        <w:gridCol w:w="1486"/>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13102522P008977100018   2022</w:t>
            </w:r>
            <w:r>
              <w:rPr>
                <w:rFonts w:hint="eastAsia" w:ascii="仿宋_GB2312" w:hAnsi="宋体" w:eastAsia="仿宋_GB2312" w:cs="宋体"/>
                <w:color w:val="000000"/>
                <w:sz w:val="18"/>
                <w:szCs w:val="18"/>
              </w:rPr>
              <w:t>年建档立卡脱贫户生产生活补助金</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2.8</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通过对我镇</w:t>
            </w:r>
            <w:r>
              <w:rPr>
                <w:rFonts w:ascii="仿宋_GB2312" w:hAnsi="宋体" w:eastAsia="仿宋_GB2312" w:cs="宋体"/>
                <w:color w:val="000000"/>
                <w:sz w:val="18"/>
                <w:szCs w:val="18"/>
              </w:rPr>
              <w:t>14</w:t>
            </w:r>
            <w:r>
              <w:rPr>
                <w:rFonts w:hint="eastAsia" w:ascii="仿宋_GB2312" w:hAnsi="宋体" w:eastAsia="仿宋_GB2312" w:cs="宋体"/>
                <w:color w:val="000000"/>
                <w:sz w:val="18"/>
                <w:szCs w:val="18"/>
              </w:rPr>
              <w:t>户建档立卡贫困户及时有效发放帮扶资金，使贫困户生活质量有效提高，实现贫困户家庭收入有效增长，使贫困户对政府扶贫工作达到满意。</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25%</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75%</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通过对我镇</w:t>
            </w:r>
            <w:r>
              <w:rPr>
                <w:rFonts w:ascii="仿宋_GB2312" w:hAnsi="宋体" w:eastAsia="仿宋_GB2312" w:cs="宋体"/>
                <w:color w:val="000000"/>
                <w:sz w:val="18"/>
                <w:szCs w:val="18"/>
              </w:rPr>
              <w:t>14</w:t>
            </w:r>
            <w:r>
              <w:rPr>
                <w:rFonts w:hint="eastAsia" w:ascii="仿宋_GB2312" w:hAnsi="宋体" w:eastAsia="仿宋_GB2312" w:cs="宋体"/>
                <w:color w:val="000000"/>
                <w:sz w:val="18"/>
                <w:szCs w:val="18"/>
              </w:rPr>
              <w:t>户建档立卡贫困户及时有效发放帮扶资金，使贫困户生活质量有效提高，实现贫困户家庭收入有效增长，使贫困户对政府扶贫工作达到满意。</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33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32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32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扶助户数</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年度内享受帮扶政策户数</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14</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户</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生活质量达标率</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反映生活质量达标率</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扶助资金到位率</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反映截至年底到位扶助资金的比率</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贫困户慰问金发放标准</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反映贫困户慰问金发放标准</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2000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元</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人</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《关于列支建档立卡贫困户帮扶责任人派出单位扶贫慰问专项经费的通知》大组字</w:t>
            </w:r>
            <w:r>
              <w:rPr>
                <w:rFonts w:ascii="仿宋_GB2312" w:hAnsi="宋体" w:eastAsia="仿宋_GB2312" w:cs="宋体"/>
                <w:color w:val="000000"/>
                <w:kern w:val="0"/>
                <w:sz w:val="18"/>
                <w:szCs w:val="18"/>
              </w:rPr>
              <w:t>[2018]66</w:t>
            </w:r>
            <w:r>
              <w:rPr>
                <w:rFonts w:hint="eastAsia" w:ascii="仿宋_GB2312" w:hAnsi="宋体" w:eastAsia="仿宋_GB2312" w:cs="宋体"/>
                <w:color w:val="000000"/>
                <w:kern w:val="0"/>
                <w:sz w:val="18"/>
                <w:szCs w:val="18"/>
              </w:rPr>
              <w:t>号</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提高贫困户自主脱贫的能力</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反映提高贫困户自主脱贫的能力</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提高</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调查结果</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提高贫困户生活水平</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带动贫困户脱贫</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改善生活</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长效管理机制</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反映长效管理机制是否健全</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健全</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《关于列支建档立卡贫困户帮扶责任人派出单位扶贫慰问专项经费的通知》大组字</w:t>
            </w:r>
            <w:r>
              <w:rPr>
                <w:rFonts w:ascii="仿宋_GB2312" w:hAnsi="宋体" w:eastAsia="仿宋_GB2312" w:cs="宋体"/>
                <w:color w:val="000000"/>
                <w:kern w:val="0"/>
                <w:sz w:val="18"/>
                <w:szCs w:val="18"/>
              </w:rPr>
              <w:t>[2018]66</w:t>
            </w:r>
            <w:r>
              <w:rPr>
                <w:rFonts w:hint="eastAsia" w:ascii="仿宋_GB2312" w:hAnsi="宋体" w:eastAsia="仿宋_GB2312" w:cs="宋体"/>
                <w:color w:val="000000"/>
                <w:kern w:val="0"/>
                <w:sz w:val="18"/>
                <w:szCs w:val="18"/>
              </w:rPr>
              <w:t>号</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被帮扶对象满意度</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反映被帮扶对象满意度</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w:t>
      </w: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7.2022</w:t>
      </w:r>
      <w:r>
        <w:rPr>
          <w:rFonts w:hint="eastAsia" w:ascii="仿宋_GB2312" w:hAnsi="宋体" w:eastAsia="仿宋_GB2312" w:cs="宋体"/>
          <w:sz w:val="28"/>
        </w:rPr>
        <w:t>年退役军人服务站工作经费项目绩效目标表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1058"/>
        <w:gridCol w:w="2565"/>
        <w:gridCol w:w="795"/>
        <w:gridCol w:w="1035"/>
        <w:gridCol w:w="778"/>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13102522P008982100013   2022</w:t>
            </w:r>
            <w:r>
              <w:rPr>
                <w:rFonts w:hint="eastAsia" w:ascii="仿宋_GB2312" w:hAnsi="宋体" w:eastAsia="仿宋_GB2312" w:cs="宋体"/>
                <w:color w:val="000000"/>
                <w:sz w:val="18"/>
                <w:szCs w:val="18"/>
              </w:rPr>
              <w:t>年退役军人服务站工作经费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3</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退役军人服务站通过开展不低于</w:t>
            </w:r>
            <w:r>
              <w:rPr>
                <w:rFonts w:ascii="仿宋_GB2312" w:hAnsi="宋体" w:eastAsia="仿宋_GB2312" w:cs="宋体"/>
                <w:color w:val="000000"/>
                <w:sz w:val="18"/>
                <w:szCs w:val="18"/>
              </w:rPr>
              <w:t>50</w:t>
            </w:r>
            <w:r>
              <w:rPr>
                <w:rFonts w:hint="eastAsia" w:ascii="仿宋_GB2312" w:hAnsi="宋体" w:eastAsia="仿宋_GB2312" w:cs="宋体"/>
                <w:color w:val="000000"/>
                <w:sz w:val="18"/>
                <w:szCs w:val="18"/>
              </w:rPr>
              <w:t>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退役军人服务站通过开展不低于</w:t>
            </w:r>
            <w:r>
              <w:rPr>
                <w:rFonts w:ascii="仿宋_GB2312" w:hAnsi="宋体" w:eastAsia="仿宋_GB2312" w:cs="宋体"/>
                <w:color w:val="000000"/>
                <w:sz w:val="18"/>
                <w:szCs w:val="18"/>
              </w:rPr>
              <w:t>50</w:t>
            </w:r>
            <w:r>
              <w:rPr>
                <w:rFonts w:hint="eastAsia" w:ascii="仿宋_GB2312" w:hAnsi="宋体" w:eastAsia="仿宋_GB2312" w:cs="宋体"/>
                <w:color w:val="000000"/>
                <w:sz w:val="18"/>
                <w:szCs w:val="18"/>
              </w:rPr>
              <w:t>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4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4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入村开展调查帮扶活动次数</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反映入村开展调查帮扶活动次数</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慰问金发放完成准确率</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反映慰问金发放完成准确率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培训计划按期完成率</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反映培训计划按期完成率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年度重大退役军人投诉情况</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反映年度重大退役军人投诉比率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eastAsia="仿宋_GB2312" w:cs="宋体"/>
                <w:color w:val="000000"/>
                <w:kern w:val="0"/>
                <w:sz w:val="18"/>
                <w:szCs w:val="18"/>
              </w:rPr>
              <w:t>0.00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经济效益指标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自主创业退役军人的比例</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自主创业退役军人占总退役军人的比例</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上级主管部门满意度</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反映上级主管部门满意程度</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反应服务对象满意度</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接受服务重点人群对提供服务的满意程度</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 xml:space="preserve">    8.2022</w:t>
      </w:r>
      <w:r>
        <w:rPr>
          <w:rFonts w:hint="eastAsia" w:ascii="仿宋_GB2312" w:hAnsi="宋体" w:eastAsia="仿宋_GB2312" w:cs="宋体"/>
          <w:sz w:val="28"/>
        </w:rPr>
        <w:t>年人大代表联络站经费项目绩效目标表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13102522P008985100014    2022</w:t>
            </w:r>
            <w:r>
              <w:rPr>
                <w:rFonts w:hint="eastAsia" w:ascii="仿宋_GB2312" w:hAnsi="宋体" w:eastAsia="仿宋_GB2312" w:cs="宋体"/>
                <w:color w:val="000000"/>
                <w:sz w:val="18"/>
                <w:szCs w:val="18"/>
              </w:rPr>
              <w:t>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6</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通过进一步完善人大代表联络站建设，保障代表在闭会期间开展活动有阵地，联系群众有窗口，执行职务有平台，为促进代表履职活动规范化、制度化、常态化，提供有力保障。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r>
              <w:rPr>
                <w:rFonts w:ascii="仿宋_GB2312" w:hAnsi="宋体" w:eastAsia="仿宋_GB2312" w:cs="宋体"/>
                <w:color w:val="000000"/>
                <w:sz w:val="18"/>
                <w:szCs w:val="18"/>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50%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通过进一步完善人大代表联络站建设，保障代表在闭会期间开展活动有阵地，联系群众有窗口，执行职务有平台，为促进代表履职活动规范化、制度化、常态化，提供有力保障。</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代表活动接待日次数</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开展代表活动接待日次数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选民覆盖率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选民覆盖率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活动举办时效</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活动按期举办</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及时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项目经费控制量</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反映项目经费控制量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代表履职率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反映辖区代表履职水平</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活动知晓率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反映辖区群众知晓水平</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联络站制度健全性</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反映联络站制度健全性</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健全</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《人大代表联络站工作职责》、《代表活动制度》等</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公众满意度</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bl>
    <w:p>
      <w:pPr>
        <w:spacing w:line="584" w:lineRule="exact"/>
        <w:ind w:firstLine="640" w:firstLineChars="200"/>
        <w:rPr>
          <w:rFonts w:ascii="仿宋_GB2312" w:hAnsi="Times New Roman" w:eastAsia="仿宋_GB2312" w:cs="Times New Roman"/>
          <w:sz w:val="32"/>
          <w:szCs w:val="32"/>
        </w:rPr>
      </w:pPr>
    </w:p>
    <w:p>
      <w:pPr>
        <w:ind w:firstLine="560" w:firstLineChars="200"/>
        <w:jc w:val="left"/>
        <w:outlineLvl w:val="1"/>
        <w:rPr>
          <w:rFonts w:ascii="仿宋_GB2312" w:hAnsi="Times New Roman" w:eastAsia="仿宋_GB2312" w:cs="Times New Roman"/>
          <w:sz w:val="28"/>
        </w:rPr>
      </w:pPr>
      <w:r>
        <w:rPr>
          <w:rFonts w:ascii="仿宋_GB2312" w:hAnsi="Times New Roman" w:eastAsia="仿宋_GB2312" w:cs="Times New Roman"/>
          <w:sz w:val="28"/>
        </w:rPr>
        <w:t>9.2022</w:t>
      </w:r>
      <w:r>
        <w:rPr>
          <w:rFonts w:hint="eastAsia" w:ascii="仿宋_GB2312" w:hAnsi="宋体" w:eastAsia="仿宋_GB2312" w:cs="宋体"/>
          <w:sz w:val="28"/>
        </w:rPr>
        <w:t>年乡镇武装部武装工作经费项目绩效目标表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13102522P00899110001L 2022</w:t>
            </w:r>
            <w:r>
              <w:rPr>
                <w:rFonts w:hint="eastAsia" w:ascii="仿宋_GB2312" w:hAnsi="宋体" w:eastAsia="仿宋_GB2312" w:cs="宋体"/>
                <w:color w:val="000000"/>
                <w:sz w:val="18"/>
                <w:szCs w:val="18"/>
              </w:rPr>
              <w:t>年乡镇武装部武装工作经费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3</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年乡镇武装部武装工作。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保障武装部日常工作正常运行。</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入村开展宣传活动</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反映宣传活动次数</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慰问金发放完成准确率</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反映慰问金发放完成准确率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培训计划按期完成率</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反映培训计划按期完成率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反映项目预算控制金额</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经济效益指标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年度重大退役军人投诉情况</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反映年度重大退役军人投诉比率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eastAsia="仿宋_GB2312" w:cs="宋体"/>
                <w:color w:val="000000"/>
                <w:kern w:val="0"/>
                <w:sz w:val="18"/>
                <w:szCs w:val="18"/>
              </w:rPr>
              <w:t>0.00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自主创业退役军人的比例</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自主创业退役军人占总退役军人的比例</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合理改善村内布局</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改善村内环境</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反应服务对象满意度</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接受服务重点人群对提供服务的满意程度</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color w:val="000000"/>
                <w:sz w:val="18"/>
                <w:szCs w:val="18"/>
              </w:rPr>
            </w:pPr>
          </w:p>
        </w:tc>
      </w:tr>
    </w:tbl>
    <w:p>
      <w:pPr>
        <w:spacing w:line="584" w:lineRule="exact"/>
        <w:ind w:firstLine="640" w:firstLineChars="200"/>
        <w:rPr>
          <w:rFonts w:ascii="仿宋_GB2312" w:hAnsi="Times New Roman" w:eastAsia="仿宋_GB2312" w:cs="Times New Roman"/>
          <w:sz w:val="32"/>
          <w:szCs w:val="32"/>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10.</w:t>
      </w:r>
      <w:r>
        <w:rPr>
          <w:rFonts w:ascii="仿宋_GB2312" w:eastAsia="仿宋_GB2312"/>
        </w:rPr>
        <w:t xml:space="preserve"> </w:t>
      </w:r>
      <w:r>
        <w:rPr>
          <w:rFonts w:ascii="仿宋_GB2312" w:hAnsi="Times New Roman" w:eastAsia="仿宋_GB2312" w:cs="Times New Roman"/>
          <w:sz w:val="28"/>
        </w:rPr>
        <w:t>2022</w:t>
      </w:r>
      <w:r>
        <w:rPr>
          <w:rFonts w:hint="eastAsia" w:ascii="仿宋_GB2312" w:hAnsi="宋体" w:eastAsia="仿宋_GB2312" w:cs="宋体"/>
          <w:sz w:val="28"/>
        </w:rPr>
        <w:t>年刘培福历史遗留问题项目绩效目标表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13102522P00898710001F  2022</w:t>
            </w:r>
            <w:r>
              <w:rPr>
                <w:rFonts w:hint="eastAsia" w:ascii="仿宋_GB2312" w:hAnsi="宋体" w:eastAsia="仿宋_GB2312" w:cs="宋体"/>
                <w:color w:val="000000"/>
                <w:sz w:val="18"/>
                <w:szCs w:val="18"/>
              </w:rPr>
              <w:t>年刘培福历史遗留问题</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30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年刘培福历史遗留问题。</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应妥善解决其住房安置问题。为此，经与刘培福本人沟通，对其进行资金补偿。</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建设安置房面积</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建设安置房面积</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平方米</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质量合格率</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质量合格率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ascii="仿宋_GB2312" w:eastAsia="仿宋_GB2312" w:cs="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按期完成率</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按期完成率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ascii="仿宋_GB2312" w:eastAsia="仿宋_GB2312" w:cs="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反映成本节约情况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30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经济效益指标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r>
      <w:tr>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收益人口数量</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eastAsia="仿宋_GB2312" w:cs="宋体"/>
                <w:color w:val="000000"/>
                <w:sz w:val="18"/>
                <w:szCs w:val="18"/>
              </w:rPr>
              <w:t>反映收益人口数量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ascii="仿宋_GB2312" w:eastAsia="仿宋_GB2312" w:cs="宋体"/>
                <w:color w:val="00000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eastAsia="仿宋_GB2312" w:cs="宋体"/>
                <w:color w:val="000000"/>
                <w:sz w:val="18"/>
                <w:szCs w:val="18"/>
              </w:rPr>
              <w:t>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eastAsia="仿宋_GB2312" w:cs="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生态效益指标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主管部门满意度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反映主管部门满意度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实际调查</w:t>
            </w:r>
          </w:p>
        </w:tc>
      </w:tr>
    </w:tbl>
    <w:p>
      <w:pPr>
        <w:ind w:firstLine="560" w:firstLineChars="200"/>
        <w:jc w:val="left"/>
        <w:outlineLvl w:val="1"/>
        <w:rPr>
          <w:rFonts w:ascii="仿宋_GB2312" w:hAnsi="Times New Roman" w:eastAsia="仿宋_GB2312" w:cs="Times New Roman"/>
          <w:sz w:val="28"/>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11.</w:t>
      </w:r>
      <w:r>
        <w:rPr>
          <w:rFonts w:ascii="仿宋_GB2312" w:eastAsia="仿宋_GB2312"/>
        </w:rPr>
        <w:t xml:space="preserve"> </w:t>
      </w:r>
      <w:r>
        <w:rPr>
          <w:rFonts w:ascii="仿宋_GB2312" w:hAnsi="Times New Roman" w:eastAsia="仿宋_GB2312" w:cs="Times New Roman"/>
          <w:sz w:val="28"/>
        </w:rPr>
        <w:t>2022</w:t>
      </w:r>
      <w:r>
        <w:rPr>
          <w:rFonts w:hint="eastAsia" w:ascii="仿宋_GB2312" w:hAnsi="宋体" w:eastAsia="仿宋_GB2312" w:cs="宋体"/>
          <w:sz w:val="28"/>
        </w:rPr>
        <w:t>年烟村干渠及臧屯排干污水治理项目绩效目标表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13102522P00898610001R 2022</w:t>
            </w:r>
            <w:r>
              <w:rPr>
                <w:rFonts w:hint="eastAsia" w:ascii="仿宋_GB2312" w:hAnsi="宋体" w:eastAsia="仿宋_GB2312" w:cs="宋体"/>
                <w:color w:val="000000"/>
                <w:sz w:val="18"/>
                <w:szCs w:val="18"/>
              </w:rPr>
              <w:t>年烟村干渠及臧屯排干污水治理项目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30</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48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年烟村干渠及臧屯排干污水治理项目。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通过项目的开展完成河道污水的治理，实现水生态环境明显改善，提高人民健康水平</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河道污水治理总量</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反映河道污水治理总量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68</w:t>
            </w:r>
            <w:r>
              <w:rPr>
                <w:rFonts w:hint="eastAsia" w:ascii="仿宋_GB2312" w:hAnsi="宋体" w:eastAsia="仿宋_GB2312"/>
                <w:color w:val="000000"/>
                <w:kern w:val="0"/>
                <w:sz w:val="18"/>
                <w:szCs w:val="18"/>
              </w:rPr>
              <w:t>万</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M</w:t>
            </w:r>
            <w:r>
              <w:rPr>
                <w:rFonts w:hint="eastAsia" w:ascii="仿宋_GB2312" w:hAnsi="宋体" w:cs="宋体"/>
                <w:color w:val="000000"/>
                <w:kern w:val="0"/>
                <w:sz w:val="18"/>
                <w:szCs w:val="18"/>
              </w:rPr>
              <w:t>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坑塘污水治理达标率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反映坑塘污水治理达标率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验收报告</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按期完成的工程量占总工程量的比率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反映按期完成的工程量占总工程量的比率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2020</w:t>
            </w:r>
            <w:r>
              <w:rPr>
                <w:rFonts w:hint="eastAsia" w:ascii="仿宋_GB2312" w:hAnsi="宋体" w:eastAsia="仿宋_GB2312"/>
                <w:color w:val="000000"/>
                <w:kern w:val="0"/>
                <w:sz w:val="18"/>
                <w:szCs w:val="18"/>
              </w:rPr>
              <w:t>年</w:t>
            </w:r>
            <w:r>
              <w:rPr>
                <w:rFonts w:ascii="仿宋_GB2312" w:hAnsi="宋体" w:eastAsia="仿宋_GB2312"/>
                <w:color w:val="000000"/>
                <w:kern w:val="0"/>
                <w:sz w:val="18"/>
                <w:szCs w:val="18"/>
              </w:rPr>
              <w:t>11</w:t>
            </w:r>
            <w:r>
              <w:rPr>
                <w:rFonts w:hint="eastAsia" w:ascii="仿宋_GB2312" w:hAnsi="宋体" w:eastAsia="仿宋_GB2312"/>
                <w:color w:val="000000"/>
                <w:kern w:val="0"/>
                <w:sz w:val="18"/>
                <w:szCs w:val="18"/>
              </w:rPr>
              <w:t>月底</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中冶建筑研究总院有限公司化学分析检车报告</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cs="宋体"/>
                <w:color w:val="000000"/>
                <w:sz w:val="18"/>
                <w:szCs w:val="18"/>
              </w:rPr>
            </w:pPr>
            <w:r>
              <w:rPr>
                <w:rFonts w:hint="eastAsia" w:ascii="仿宋_GB2312" w:hAnsi="宋体" w:eastAsia="仿宋_GB2312" w:cs="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反映成本节约情况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ascii="仿宋_GB2312" w:hAnsi="宋体" w:eastAsia="仿宋_GB2312"/>
                <w:color w:val="000000"/>
                <w:kern w:val="0"/>
                <w:sz w:val="18"/>
                <w:szCs w:val="18"/>
              </w:rPr>
              <w:t>24.9</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color w:val="000000"/>
                <w:kern w:val="0"/>
                <w:sz w:val="18"/>
                <w:szCs w:val="18"/>
              </w:rPr>
            </w:pPr>
            <w:r>
              <w:rPr>
                <w:rFonts w:hint="eastAsia" w:ascii="仿宋_GB2312" w:hAnsi="宋体" w:eastAsia="仿宋_GB2312"/>
                <w:color w:val="000000"/>
                <w:kern w:val="0"/>
                <w:sz w:val="18"/>
                <w:szCs w:val="18"/>
              </w:rPr>
              <w:t>第三方测算</w:t>
            </w:r>
          </w:p>
        </w:tc>
      </w:tr>
      <w:tr>
        <w:tblPrEx>
          <w:tblCellMar>
            <w:top w:w="0" w:type="dxa"/>
            <w:left w:w="108" w:type="dxa"/>
            <w:bottom w:w="0" w:type="dxa"/>
            <w:right w:w="108" w:type="dxa"/>
          </w:tblCellMar>
        </w:tblPrEx>
        <w:trPr>
          <w:trHeight w:val="479"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环境效益</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水生态环境改善情况</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反映水生态环境改善情况增长情况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明显</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监测报告</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可持续影响</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长效管理机制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健全</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文件</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ascii="仿宋_GB2312" w:hAnsi="宋体" w:eastAsia="仿宋_GB2312"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eastAsia="仿宋_GB2312" w:cs="宋体"/>
                <w:color w:val="000000"/>
                <w:sz w:val="18"/>
                <w:szCs w:val="18"/>
              </w:rPr>
            </w:pPr>
            <w:r>
              <w:rPr>
                <w:rFonts w:hint="eastAsia" w:ascii="仿宋_GB2312" w:hAnsi="宋体" w:eastAsia="仿宋_GB2312" w:cs="宋体"/>
                <w:color w:val="000000"/>
                <w:kern w:val="0"/>
                <w:sz w:val="18"/>
                <w:szCs w:val="18"/>
              </w:rPr>
              <w:t>群众满意度</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主管部门满意度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ascii="仿宋_GB2312" w:hAnsi="仿宋" w:eastAsia="仿宋_GB2312"/>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ascii="仿宋_GB2312" w:hAnsi="仿宋" w:eastAsia="仿宋_GB2312"/>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实际调查</w:t>
            </w:r>
          </w:p>
        </w:tc>
      </w:tr>
    </w:tbl>
    <w:p>
      <w:pPr>
        <w:jc w:val="left"/>
        <w:outlineLvl w:val="1"/>
        <w:rPr>
          <w:rFonts w:ascii="仿宋_GB2312" w:hAnsi="Times New Roman" w:eastAsia="仿宋_GB2312" w:cs="Times New Roman"/>
          <w:sz w:val="28"/>
        </w:rPr>
      </w:pPr>
      <w:r>
        <w:rPr>
          <w:rFonts w:ascii="仿宋_GB2312" w:hAnsi="Times New Roman" w:eastAsia="仿宋_GB2312" w:cs="Times New Roman"/>
          <w:sz w:val="28"/>
        </w:rPr>
        <w:t>12.</w:t>
      </w:r>
      <w:r>
        <w:rPr>
          <w:rFonts w:ascii="仿宋_GB2312" w:eastAsia="仿宋_GB2312"/>
        </w:rPr>
        <w:t xml:space="preserve"> </w:t>
      </w:r>
      <w:r>
        <w:rPr>
          <w:rFonts w:ascii="仿宋_GB2312" w:hAnsi="Times New Roman" w:eastAsia="仿宋_GB2312" w:cs="Times New Roman"/>
          <w:sz w:val="28"/>
        </w:rPr>
        <w:t>2022</w:t>
      </w:r>
      <w:r>
        <w:rPr>
          <w:rFonts w:hint="eastAsia" w:ascii="仿宋_GB2312" w:hAnsi="宋体" w:eastAsia="仿宋_GB2312" w:cs="宋体"/>
          <w:sz w:val="28"/>
        </w:rPr>
        <w:t>年廊泊路两侧整改提升土地流转资金项目绩效目标表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13102522P00898410001E  2022</w:t>
            </w:r>
            <w:r>
              <w:rPr>
                <w:rFonts w:hint="eastAsia" w:ascii="仿宋_GB2312" w:hAnsi="宋体" w:eastAsia="仿宋_GB2312" w:cs="宋体"/>
                <w:color w:val="000000"/>
                <w:sz w:val="18"/>
                <w:szCs w:val="18"/>
              </w:rPr>
              <w:t>年廊泊路两侧整改提升土地流转资金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108.08</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年廊泊路两侧整改提升土地流转资金。</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仿宋" w:eastAsia="仿宋_GB2312"/>
                <w:color w:val="000000"/>
                <w:kern w:val="0"/>
                <w:sz w:val="18"/>
                <w:szCs w:val="18"/>
              </w:rPr>
              <w:t>通过</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年廊泊路两侧整改提升土地流转</w:t>
            </w:r>
            <w:r>
              <w:rPr>
                <w:rFonts w:hint="eastAsia" w:ascii="仿宋_GB2312" w:hAnsi="仿宋" w:eastAsia="仿宋_GB2312"/>
                <w:color w:val="000000"/>
                <w:kern w:val="0"/>
                <w:sz w:val="18"/>
                <w:szCs w:val="18"/>
              </w:rPr>
              <w:t>，提高人民健康水平</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补偿面积</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反映补偿占村民地上附着物面积</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1080.8</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亩</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完工验收合格率</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反映工程完工验收合格率</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《园林绿化工程施工及验收规范》</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项目完成及时性</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反映项目按施工节点完成情况</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2022</w:t>
            </w:r>
            <w:r>
              <w:rPr>
                <w:rFonts w:hint="eastAsia" w:ascii="仿宋_GB2312" w:hAnsi="宋体" w:eastAsia="仿宋_GB2312"/>
                <w:color w:val="000000"/>
                <w:sz w:val="18"/>
                <w:szCs w:val="18"/>
              </w:rPr>
              <w:t>年</w:t>
            </w:r>
            <w:r>
              <w:rPr>
                <w:rFonts w:ascii="仿宋_GB2312" w:hAnsi="宋体" w:eastAsia="仿宋_GB2312"/>
                <w:color w:val="000000"/>
                <w:sz w:val="18"/>
                <w:szCs w:val="18"/>
              </w:rPr>
              <w:t>6</w:t>
            </w:r>
            <w:r>
              <w:rPr>
                <w:rFonts w:hint="eastAsia" w:ascii="仿宋_GB2312" w:hAnsi="宋体" w:eastAsia="仿宋_GB2312"/>
                <w:color w:val="00000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反映项目成本节约情况</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108.08</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受益人口数</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反映受益人口数量</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686</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人</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村民补偿金发放制度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反映村民补偿金发放制度是否完善</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完善</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主管部门满意度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反映主管部门满意度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实际调查</w:t>
            </w:r>
          </w:p>
        </w:tc>
      </w:tr>
    </w:tbl>
    <w:p>
      <w:pPr>
        <w:ind w:firstLine="560" w:firstLineChars="200"/>
        <w:jc w:val="left"/>
        <w:outlineLvl w:val="1"/>
        <w:rPr>
          <w:rFonts w:ascii="仿宋_GB2312" w:hAnsi="Times New Roman" w:eastAsia="仿宋_GB2312" w:cs="Times New Roman"/>
          <w:sz w:val="28"/>
        </w:rPr>
      </w:pPr>
    </w:p>
    <w:p>
      <w:pPr>
        <w:jc w:val="left"/>
        <w:outlineLvl w:val="1"/>
        <w:rPr>
          <w:rFonts w:ascii="仿宋_GB2312" w:hAnsi="Times New Roman" w:eastAsia="仿宋_GB2312" w:cs="Times New Roman"/>
          <w:sz w:val="28"/>
        </w:rPr>
      </w:pPr>
      <w:r>
        <w:rPr>
          <w:rFonts w:ascii="仿宋_GB2312" w:hAnsi="Times New Roman" w:eastAsia="仿宋_GB2312" w:cs="Times New Roman"/>
          <w:sz w:val="28"/>
        </w:rPr>
        <w:t>13.</w:t>
      </w:r>
      <w:r>
        <w:rPr>
          <w:rFonts w:ascii="仿宋_GB2312" w:eastAsia="仿宋_GB2312"/>
        </w:rPr>
        <w:t xml:space="preserve"> </w:t>
      </w:r>
      <w:r>
        <w:rPr>
          <w:rFonts w:ascii="仿宋_GB2312" w:hAnsi="Times New Roman" w:eastAsia="仿宋_GB2312" w:cs="Times New Roman"/>
          <w:sz w:val="28"/>
        </w:rPr>
        <w:t>2022</w:t>
      </w:r>
      <w:r>
        <w:rPr>
          <w:rFonts w:hint="eastAsia" w:ascii="仿宋_GB2312" w:hAnsi="宋体" w:eastAsia="仿宋_GB2312" w:cs="宋体"/>
          <w:sz w:val="28"/>
        </w:rPr>
        <w:t>年廊泊路两侧改造提升工程监理项目绩效目标表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13102522P00898810002Q 2022</w:t>
            </w:r>
            <w:r>
              <w:rPr>
                <w:rFonts w:hint="eastAsia" w:ascii="仿宋_GB2312" w:hAnsi="宋体" w:eastAsia="仿宋_GB2312" w:cs="宋体"/>
                <w:color w:val="000000"/>
                <w:sz w:val="18"/>
                <w:szCs w:val="18"/>
              </w:rPr>
              <w:t>年廊泊路两侧改造提升工程监理费用</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ascii="仿宋_GB2312" w:hAnsi="宋体" w:eastAsia="仿宋_GB2312" w:cs="宋体"/>
                <w:color w:val="000000"/>
                <w:sz w:val="18"/>
                <w:szCs w:val="18"/>
              </w:rPr>
              <w:t>5</w:t>
            </w:r>
            <w:r>
              <w:rPr>
                <w:rFonts w:hint="eastAsia" w:ascii="仿宋_GB2312" w:hAnsi="宋体" w:eastAsia="仿宋_GB2312"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用于</w:t>
            </w:r>
            <w:r>
              <w:rPr>
                <w:rFonts w:ascii="仿宋_GB2312" w:hAnsi="宋体" w:eastAsia="仿宋_GB2312" w:cs="宋体"/>
                <w:color w:val="000000"/>
                <w:sz w:val="18"/>
                <w:szCs w:val="18"/>
              </w:rPr>
              <w:t>2022</w:t>
            </w:r>
            <w:r>
              <w:rPr>
                <w:rFonts w:hint="eastAsia" w:ascii="仿宋_GB2312" w:hAnsi="宋体" w:eastAsia="仿宋_GB2312" w:cs="宋体"/>
                <w:color w:val="000000"/>
                <w:sz w:val="18"/>
                <w:szCs w:val="18"/>
              </w:rPr>
              <w:t>年廊泊路两侧改造提升工程监理费用。</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资金支出计划</w:t>
            </w:r>
            <w:r>
              <w:rPr>
                <w:rFonts w:ascii="仿宋_GB2312" w:eastAsia="仿宋_GB2312" w:cs="宋体"/>
                <w:b/>
                <w:bCs/>
                <w:color w:val="000000"/>
                <w:kern w:val="0"/>
                <w:sz w:val="18"/>
                <w:szCs w:val="18"/>
              </w:rPr>
              <w:br w:type="textWrapping"/>
            </w:r>
            <w:r>
              <w:rPr>
                <w:rFonts w:hint="eastAsia" w:ascii="仿宋_GB2312" w:hAnsi="宋体" w:eastAsia="仿宋_GB2312"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3</w:t>
            </w:r>
            <w:r>
              <w:rPr>
                <w:rFonts w:hint="eastAsia" w:ascii="仿宋_GB2312" w:hAnsi="宋体" w:eastAsia="仿宋_GB2312"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6</w:t>
            </w:r>
            <w:r>
              <w:rPr>
                <w:rFonts w:hint="eastAsia" w:ascii="仿宋_GB2312" w:hAnsi="宋体" w:eastAsia="仿宋_GB2312"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10</w:t>
            </w:r>
            <w:r>
              <w:rPr>
                <w:rFonts w:hint="eastAsia" w:ascii="仿宋_GB2312" w:hAnsi="宋体" w:eastAsia="仿宋_GB2312"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ascii="仿宋_GB2312" w:hAnsi="宋体" w:eastAsia="仿宋_GB2312" w:cs="宋体"/>
                <w:b/>
                <w:bCs/>
                <w:color w:val="000000"/>
                <w:kern w:val="0"/>
                <w:sz w:val="18"/>
                <w:szCs w:val="18"/>
              </w:rPr>
              <w:t>12</w:t>
            </w:r>
            <w:r>
              <w:rPr>
                <w:rFonts w:hint="eastAsia" w:ascii="仿宋_GB2312" w:hAnsi="宋体" w:eastAsia="仿宋_GB2312"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eastAsia="仿宋_GB2312"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ascii="仿宋_GB2312" w:hAnsi="宋体" w:eastAsia="仿宋_GB2312"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目标</w:t>
            </w:r>
            <w:r>
              <w:rPr>
                <w:rFonts w:ascii="仿宋_GB2312" w:hAnsi="宋体" w:eastAsia="仿宋_GB2312"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sz w:val="18"/>
                <w:szCs w:val="18"/>
              </w:rPr>
              <w:t>通过我镇全力推进过寸段干线两侧外立面改造工程，提升整体面貌。</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覆盖村街数量</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w:t>
            </w:r>
            <w:r>
              <w:rPr>
                <w:rFonts w:ascii="仿宋_GB2312" w:hAnsi="宋体" w:eastAsia="仿宋_GB2312"/>
                <w:color w:val="000000"/>
                <w:sz w:val="18"/>
                <w:szCs w:val="18"/>
              </w:rPr>
              <w:t>26</w:t>
            </w:r>
            <w:r>
              <w:rPr>
                <w:rFonts w:hint="eastAsia" w:ascii="仿宋_GB2312" w:hAnsi="宋体" w:eastAsia="仿宋_GB2312"/>
                <w:color w:val="000000"/>
                <w:sz w:val="18"/>
                <w:szCs w:val="18"/>
              </w:rPr>
              <w:t>个村街全覆盖</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26</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规划、报告成果采纳率</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规划编制成果采纳率</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合同</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完成及时情况</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反映完成及时情况</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及时完成</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合同</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资金成本</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资金成本控制情况</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5</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合同</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布局合理化</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反映布局合理化</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布局合理</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根据项目实施情况确定</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仿宋_GB2312" w:eastAsia="仿宋_GB2312"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生态效益指标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规划设计的实施有利于村街环境的改善</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反映规划设计的实施有利于村街环境的改善</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改善</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根据项目实施情况确定</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为村街发展提供建设支撑</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反映为村街发展提供建设支撑</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提供支撑</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s="宋体"/>
                <w:b/>
                <w:bCs/>
                <w:color w:val="000000"/>
                <w:sz w:val="18"/>
                <w:szCs w:val="18"/>
              </w:rPr>
            </w:pPr>
            <w:r>
              <w:rPr>
                <w:rFonts w:hint="eastAsia" w:ascii="仿宋_GB2312" w:hAnsi="宋体" w:eastAsia="仿宋_GB2312"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hAnsi="宋体" w:eastAsia="仿宋_GB2312"/>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覆盖村街数量</w:t>
            </w:r>
          </w:p>
        </w:tc>
        <w:tc>
          <w:tcPr>
            <w:tcW w:w="3255"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规划</w:t>
            </w:r>
            <w:r>
              <w:rPr>
                <w:rFonts w:ascii="仿宋_GB2312" w:hAnsi="宋体" w:eastAsia="仿宋_GB2312"/>
                <w:color w:val="000000"/>
                <w:sz w:val="18"/>
                <w:szCs w:val="18"/>
              </w:rPr>
              <w:t>26</w:t>
            </w:r>
            <w:r>
              <w:rPr>
                <w:rFonts w:hint="eastAsia" w:ascii="仿宋_GB2312" w:hAnsi="宋体" w:eastAsia="仿宋_GB2312"/>
                <w:color w:val="000000"/>
                <w:sz w:val="18"/>
                <w:szCs w:val="18"/>
              </w:rPr>
              <w:t>个村街全覆盖</w:t>
            </w:r>
          </w:p>
        </w:tc>
        <w:tc>
          <w:tcPr>
            <w:tcW w:w="1546"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ascii="仿宋_GB2312" w:hAnsi="宋体" w:eastAsia="仿宋_GB2312"/>
                <w:color w:val="000000"/>
                <w:sz w:val="18"/>
                <w:szCs w:val="18"/>
              </w:rPr>
              <w:t>26</w:t>
            </w:r>
          </w:p>
        </w:tc>
        <w:tc>
          <w:tcPr>
            <w:tcW w:w="2193"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rPr>
                <w:rFonts w:ascii="仿宋_GB2312" w:eastAsia="仿宋_GB2312" w:cs="宋体"/>
                <w:color w:val="000000"/>
                <w:sz w:val="18"/>
                <w:szCs w:val="18"/>
              </w:rPr>
            </w:pPr>
            <w:r>
              <w:rPr>
                <w:rFonts w:hint="eastAsia" w:ascii="仿宋_GB2312" w:hAnsi="宋体" w:eastAsia="仿宋_GB2312"/>
                <w:color w:val="000000"/>
                <w:sz w:val="18"/>
                <w:szCs w:val="18"/>
              </w:rPr>
              <w:t>工作计划</w:t>
            </w:r>
          </w:p>
        </w:tc>
      </w:tr>
    </w:tbl>
    <w:p>
      <w:pPr>
        <w:ind w:firstLine="560" w:firstLineChars="200"/>
        <w:jc w:val="left"/>
        <w:outlineLvl w:val="1"/>
        <w:rPr>
          <w:rFonts w:ascii="仿宋_GB2312" w:hAnsi="Times New Roman" w:eastAsia="仿宋_GB2312" w:cs="Times New Roman"/>
          <w:sz w:val="28"/>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六、政府采购预算情况</w:t>
      </w:r>
    </w:p>
    <w:p>
      <w:pPr>
        <w:spacing w:line="584" w:lineRule="exact"/>
        <w:ind w:firstLine="640" w:firstLineChars="200"/>
        <w:outlineLvl w:val="0"/>
        <w:rPr>
          <w:rFonts w:ascii="仿宋_GB2312" w:hAnsi="Times New Roman" w:eastAsia="仿宋_GB2312" w:cs="Times New Roman"/>
          <w:sz w:val="32"/>
          <w:szCs w:val="24"/>
        </w:rPr>
      </w:pPr>
      <w:bookmarkStart w:id="0" w:name="_Toc471398468"/>
      <w:r>
        <w:rPr>
          <w:rFonts w:ascii="仿宋_GB2312" w:hAnsi="Times New Roman" w:eastAsia="仿宋_GB2312" w:cs="Times New Roman"/>
          <w:sz w:val="32"/>
          <w:szCs w:val="24"/>
        </w:rPr>
        <w:t>2022</w:t>
      </w:r>
      <w:r>
        <w:rPr>
          <w:rFonts w:hint="eastAsia" w:ascii="仿宋_GB2312" w:hAnsi="Times New Roman" w:eastAsia="仿宋_GB2312" w:cs="Times New Roman"/>
          <w:sz w:val="32"/>
          <w:szCs w:val="24"/>
        </w:rPr>
        <w:t>年，我部门安排政府采购预算</w:t>
      </w:r>
      <w:r>
        <w:rPr>
          <w:rFonts w:ascii="仿宋_GB2312" w:hAnsi="Times New Roman" w:eastAsia="仿宋_GB2312" w:cs="Times New Roman"/>
          <w:sz w:val="32"/>
          <w:szCs w:val="24"/>
        </w:rPr>
        <w:t>0</w:t>
      </w:r>
      <w:r>
        <w:rPr>
          <w:rFonts w:hint="eastAsia" w:ascii="仿宋_GB2312" w:hAnsi="Times New Roman" w:eastAsia="仿宋_GB2312" w:cs="Times New Roman"/>
          <w:sz w:val="32"/>
          <w:szCs w:val="24"/>
        </w:rPr>
        <w:t>万元。具体内容见下表。</w:t>
      </w:r>
    </w:p>
    <w:bookmarkEnd w:id="0"/>
    <w:p>
      <w:pPr>
        <w:spacing w:line="584" w:lineRule="exact"/>
        <w:jc w:val="left"/>
        <w:outlineLvl w:val="0"/>
        <w:rPr>
          <w:rFonts w:ascii="仿宋_GB2312" w:hAnsi="Times New Roman" w:eastAsia="仿宋_GB2312" w:cs="Times New Roman"/>
        </w:rPr>
      </w:pPr>
    </w:p>
    <w:p>
      <w:pPr>
        <w:jc w:val="center"/>
        <w:outlineLvl w:val="1"/>
        <w:rPr>
          <w:rFonts w:ascii="仿宋_GB2312" w:hAnsi="Times New Roman" w:eastAsia="仿宋_GB2312" w:cs="Times New Roman"/>
          <w:sz w:val="32"/>
        </w:rPr>
      </w:pPr>
      <w:bookmarkStart w:id="1" w:name="_Toc64920910"/>
      <w:r>
        <w:rPr>
          <w:rFonts w:hint="eastAsia" w:ascii="仿宋_GB2312" w:eastAsia="仿宋_GB2312"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_GB2312" w:eastAsia="仿宋_GB2312" w:cs="Times New Roman"/>
                <w:sz w:val="24"/>
              </w:rPr>
            </w:pPr>
            <w:r>
              <w:rPr>
                <w:rFonts w:hint="eastAsia" w:ascii="仿宋_GB2312" w:eastAsia="仿宋_GB2312" w:cs="Times New Roman"/>
                <w:sz w:val="24"/>
              </w:rPr>
              <w:t>大城县臧屯镇人民政府</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仿宋_GB2312" w:eastAsia="仿宋_GB2312" w:cs="Times New Roman"/>
                <w:sz w:val="24"/>
              </w:rPr>
            </w:pPr>
            <w:r>
              <w:rPr>
                <w:rFonts w:hint="eastAsia" w:ascii="仿宋_GB2312"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政府采购项目来源</w:t>
            </w:r>
          </w:p>
        </w:tc>
        <w:tc>
          <w:tcPr>
            <w:tcW w:w="1531"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采购物品名称</w:t>
            </w:r>
          </w:p>
        </w:tc>
        <w:tc>
          <w:tcPr>
            <w:tcW w:w="1531"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政府采购目录序号</w:t>
            </w:r>
          </w:p>
        </w:tc>
        <w:tc>
          <w:tcPr>
            <w:tcW w:w="709"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计量</w:t>
            </w:r>
            <w:r>
              <w:rPr>
                <w:rFonts w:ascii="仿宋_GB2312" w:eastAsia="仿宋_GB2312" w:cs="Times New Roman"/>
                <w:b/>
              </w:rPr>
              <w:t xml:space="preserve">  </w:t>
            </w:r>
            <w:r>
              <w:rPr>
                <w:rFonts w:hint="eastAsia" w:ascii="仿宋_GB2312" w:eastAsia="仿宋_GB2312" w:cs="Times New Roman"/>
                <w:b/>
              </w:rPr>
              <w:t>单位</w:t>
            </w:r>
          </w:p>
        </w:tc>
        <w:tc>
          <w:tcPr>
            <w:tcW w:w="907"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数量</w:t>
            </w:r>
          </w:p>
        </w:tc>
        <w:tc>
          <w:tcPr>
            <w:tcW w:w="907" w:type="dxa"/>
            <w:vMerge w:val="restart"/>
            <w:vAlign w:val="center"/>
          </w:tcPr>
          <w:p>
            <w:pPr>
              <w:spacing w:line="300" w:lineRule="exact"/>
              <w:jc w:val="center"/>
              <w:rPr>
                <w:rFonts w:ascii="仿宋_GB2312" w:eastAsia="仿宋_GB2312" w:cs="Times New Roman"/>
                <w:b/>
              </w:rPr>
            </w:pPr>
            <w:r>
              <w:rPr>
                <w:rFonts w:hint="eastAsia" w:ascii="仿宋_GB2312" w:eastAsia="仿宋_GB2312" w:cs="Times New Roman"/>
                <w:b/>
              </w:rPr>
              <w:t>单价</w:t>
            </w:r>
          </w:p>
        </w:tc>
        <w:tc>
          <w:tcPr>
            <w:tcW w:w="6804" w:type="dxa"/>
            <w:gridSpan w:val="6"/>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项目名称</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预算资金</w:t>
            </w:r>
          </w:p>
        </w:tc>
        <w:tc>
          <w:tcPr>
            <w:tcW w:w="1531" w:type="dxa"/>
            <w:vMerge w:val="continue"/>
            <w:vAlign w:val="center"/>
          </w:tcPr>
          <w:p>
            <w:pPr>
              <w:rPr>
                <w:rFonts w:ascii="仿宋_GB2312" w:eastAsia="仿宋_GB2312"/>
              </w:rPr>
            </w:pPr>
          </w:p>
        </w:tc>
        <w:tc>
          <w:tcPr>
            <w:tcW w:w="1531" w:type="dxa"/>
            <w:vMerge w:val="continue"/>
            <w:vAlign w:val="center"/>
          </w:tcPr>
          <w:p>
            <w:pPr>
              <w:rPr>
                <w:rFonts w:ascii="仿宋_GB2312" w:eastAsia="仿宋_GB2312"/>
              </w:rPr>
            </w:pPr>
          </w:p>
        </w:tc>
        <w:tc>
          <w:tcPr>
            <w:tcW w:w="709" w:type="dxa"/>
            <w:vMerge w:val="continue"/>
            <w:vAlign w:val="center"/>
          </w:tcPr>
          <w:p>
            <w:pPr>
              <w:rPr>
                <w:rFonts w:ascii="仿宋_GB2312" w:eastAsia="仿宋_GB2312"/>
              </w:rPr>
            </w:pPr>
          </w:p>
        </w:tc>
        <w:tc>
          <w:tcPr>
            <w:tcW w:w="907" w:type="dxa"/>
            <w:vMerge w:val="continue"/>
            <w:vAlign w:val="center"/>
          </w:tcPr>
          <w:p>
            <w:pPr>
              <w:rPr>
                <w:rFonts w:ascii="仿宋_GB2312" w:eastAsia="仿宋_GB2312"/>
              </w:rPr>
            </w:pPr>
          </w:p>
        </w:tc>
        <w:tc>
          <w:tcPr>
            <w:tcW w:w="907" w:type="dxa"/>
            <w:vMerge w:val="continue"/>
            <w:vAlign w:val="center"/>
          </w:tcPr>
          <w:p>
            <w:pPr>
              <w:rPr>
                <w:rFonts w:ascii="仿宋_GB2312" w:eastAsia="仿宋_GB2312"/>
              </w:rPr>
            </w:pP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合计</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一般公共预算拨款</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基金预算拨款</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国有资本经营预算拨款</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财政专户核拨</w:t>
            </w:r>
          </w:p>
        </w:tc>
        <w:tc>
          <w:tcPr>
            <w:tcW w:w="113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仿宋_GB2312" w:eastAsia="仿宋_GB2312" w:cs="Times New Roman"/>
                <w:b/>
              </w:rPr>
            </w:pPr>
            <w:r>
              <w:rPr>
                <w:rFonts w:hint="eastAsia" w:ascii="仿宋_GB2312" w:eastAsia="仿宋_GB2312" w:cs="Times New Roman"/>
                <w:b/>
              </w:rPr>
              <w:t>合</w:t>
            </w:r>
            <w:r>
              <w:rPr>
                <w:rFonts w:ascii="仿宋_GB2312" w:eastAsia="仿宋_GB2312" w:cs="Times New Roman"/>
                <w:b/>
              </w:rPr>
              <w:t xml:space="preserve">  </w:t>
            </w:r>
            <w:r>
              <w:rPr>
                <w:rFonts w:hint="eastAsia" w:ascii="仿宋_GB2312" w:eastAsia="仿宋_GB2312" w:cs="Times New Roman"/>
                <w:b/>
              </w:rPr>
              <w:t>计</w:t>
            </w:r>
          </w:p>
        </w:tc>
        <w:tc>
          <w:tcPr>
            <w:tcW w:w="1134" w:type="dxa"/>
            <w:vAlign w:val="center"/>
          </w:tcPr>
          <w:p>
            <w:pPr>
              <w:spacing w:line="300" w:lineRule="exact"/>
              <w:jc w:val="right"/>
              <w:rPr>
                <w:rFonts w:ascii="仿宋_GB2312" w:eastAsia="仿宋_GB2312" w:cs="Times New Roman"/>
                <w:b/>
              </w:rPr>
            </w:pPr>
          </w:p>
        </w:tc>
        <w:tc>
          <w:tcPr>
            <w:tcW w:w="1531" w:type="dxa"/>
            <w:vAlign w:val="center"/>
          </w:tcPr>
          <w:p>
            <w:pPr>
              <w:spacing w:line="300" w:lineRule="exact"/>
              <w:jc w:val="left"/>
              <w:rPr>
                <w:rFonts w:ascii="仿宋_GB2312" w:eastAsia="仿宋_GB2312" w:cs="Times New Roman"/>
                <w:b/>
              </w:rPr>
            </w:pPr>
          </w:p>
        </w:tc>
        <w:tc>
          <w:tcPr>
            <w:tcW w:w="1531" w:type="dxa"/>
            <w:vAlign w:val="center"/>
          </w:tcPr>
          <w:p>
            <w:pPr>
              <w:spacing w:line="300" w:lineRule="exact"/>
              <w:jc w:val="left"/>
              <w:rPr>
                <w:rFonts w:ascii="仿宋_GB2312" w:eastAsia="仿宋_GB2312" w:cs="Times New Roman"/>
                <w:b/>
              </w:rPr>
            </w:pPr>
          </w:p>
        </w:tc>
        <w:tc>
          <w:tcPr>
            <w:tcW w:w="709" w:type="dxa"/>
            <w:vAlign w:val="center"/>
          </w:tcPr>
          <w:p>
            <w:pPr>
              <w:spacing w:line="300" w:lineRule="exact"/>
              <w:jc w:val="center"/>
              <w:rPr>
                <w:rFonts w:ascii="仿宋_GB2312" w:eastAsia="仿宋_GB2312" w:cs="Times New Roman"/>
                <w:b/>
              </w:rPr>
            </w:pPr>
          </w:p>
        </w:tc>
        <w:tc>
          <w:tcPr>
            <w:tcW w:w="907" w:type="dxa"/>
            <w:vAlign w:val="center"/>
          </w:tcPr>
          <w:p>
            <w:pPr>
              <w:spacing w:line="300" w:lineRule="exact"/>
              <w:jc w:val="right"/>
              <w:rPr>
                <w:rFonts w:ascii="仿宋_GB2312" w:eastAsia="仿宋_GB2312" w:cs="Times New Roman"/>
                <w:b/>
              </w:rPr>
            </w:pPr>
          </w:p>
        </w:tc>
        <w:tc>
          <w:tcPr>
            <w:tcW w:w="907"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531" w:type="dxa"/>
            <w:vAlign w:val="center"/>
          </w:tcPr>
          <w:p>
            <w:pPr>
              <w:spacing w:line="300" w:lineRule="exact"/>
              <w:jc w:val="left"/>
              <w:rPr>
                <w:rFonts w:ascii="仿宋_GB2312" w:eastAsia="仿宋_GB2312" w:cs="Times New Roman"/>
                <w:b/>
              </w:rPr>
            </w:pPr>
          </w:p>
        </w:tc>
        <w:tc>
          <w:tcPr>
            <w:tcW w:w="1531" w:type="dxa"/>
            <w:vAlign w:val="center"/>
          </w:tcPr>
          <w:p>
            <w:pPr>
              <w:spacing w:line="300" w:lineRule="exact"/>
              <w:jc w:val="left"/>
              <w:rPr>
                <w:rFonts w:ascii="仿宋_GB2312" w:eastAsia="仿宋_GB2312" w:cs="Times New Roman"/>
                <w:b/>
              </w:rPr>
            </w:pPr>
          </w:p>
        </w:tc>
        <w:tc>
          <w:tcPr>
            <w:tcW w:w="709" w:type="dxa"/>
            <w:vAlign w:val="center"/>
          </w:tcPr>
          <w:p>
            <w:pPr>
              <w:spacing w:line="300" w:lineRule="exact"/>
              <w:jc w:val="center"/>
              <w:rPr>
                <w:rFonts w:ascii="仿宋_GB2312" w:eastAsia="仿宋_GB2312" w:cs="Times New Roman"/>
                <w:b/>
              </w:rPr>
            </w:pPr>
          </w:p>
        </w:tc>
        <w:tc>
          <w:tcPr>
            <w:tcW w:w="907" w:type="dxa"/>
            <w:vAlign w:val="center"/>
          </w:tcPr>
          <w:p>
            <w:pPr>
              <w:spacing w:line="300" w:lineRule="exact"/>
              <w:jc w:val="right"/>
              <w:rPr>
                <w:rFonts w:ascii="仿宋_GB2312" w:eastAsia="仿宋_GB2312" w:cs="Times New Roman"/>
                <w:b/>
              </w:rPr>
            </w:pPr>
          </w:p>
        </w:tc>
        <w:tc>
          <w:tcPr>
            <w:tcW w:w="907"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c>
          <w:tcPr>
            <w:tcW w:w="1134" w:type="dxa"/>
            <w:vAlign w:val="center"/>
          </w:tcPr>
          <w:p>
            <w:pPr>
              <w:spacing w:line="300" w:lineRule="exact"/>
              <w:jc w:val="right"/>
              <w:rPr>
                <w:rFonts w:ascii="仿宋_GB2312"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1531" w:type="dxa"/>
            <w:vAlign w:val="center"/>
          </w:tcPr>
          <w:p>
            <w:pPr>
              <w:spacing w:line="300" w:lineRule="exact"/>
              <w:jc w:val="left"/>
              <w:rPr>
                <w:rFonts w:ascii="仿宋_GB2312" w:eastAsia="仿宋_GB2312" w:cs="Times New Roman"/>
              </w:rPr>
            </w:pPr>
          </w:p>
        </w:tc>
        <w:tc>
          <w:tcPr>
            <w:tcW w:w="709" w:type="dxa"/>
            <w:vAlign w:val="center"/>
          </w:tcPr>
          <w:p>
            <w:pPr>
              <w:spacing w:line="300" w:lineRule="exact"/>
              <w:jc w:val="center"/>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907"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c>
          <w:tcPr>
            <w:tcW w:w="1134" w:type="dxa"/>
            <w:vAlign w:val="center"/>
          </w:tcPr>
          <w:p>
            <w:pPr>
              <w:spacing w:line="300" w:lineRule="exact"/>
              <w:jc w:val="right"/>
              <w:rPr>
                <w:rFonts w:ascii="仿宋_GB2312" w:eastAsia="仿宋_GB2312" w:cs="Times New Roman"/>
              </w:rPr>
            </w:pPr>
          </w:p>
        </w:tc>
      </w:tr>
    </w:tbl>
    <w:p>
      <w:pPr>
        <w:spacing w:line="584" w:lineRule="exact"/>
        <w:jc w:val="left"/>
        <w:outlineLvl w:val="0"/>
        <w:rPr>
          <w:rFonts w:ascii="仿宋_GB2312"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七、国有资产信息</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我单位上年末固定资产金额为</w:t>
      </w:r>
      <w:r>
        <w:rPr>
          <w:rFonts w:ascii="仿宋_GB2312" w:hAnsi="Times New Roman" w:eastAsia="仿宋_GB2312" w:cs="Times New Roman"/>
          <w:sz w:val="32"/>
          <w:szCs w:val="32"/>
        </w:rPr>
        <w:t>457.51</w:t>
      </w:r>
      <w:r>
        <w:rPr>
          <w:rFonts w:hint="eastAsia" w:ascii="仿宋_GB2312" w:hAnsi="Times New Roman" w:eastAsia="仿宋_GB2312" w:cs="Times New Roman"/>
          <w:sz w:val="32"/>
          <w:szCs w:val="32"/>
        </w:rPr>
        <w:t>万元（详见下表），本年度我部门</w:t>
      </w:r>
      <w:r>
        <w:rPr>
          <w:rFonts w:hint="eastAsia" w:ascii="仿宋_GB2312" w:hAnsi="黑体" w:eastAsia="仿宋_GB2312"/>
          <w:sz w:val="32"/>
          <w:szCs w:val="32"/>
        </w:rPr>
        <w:t>无新增固定资产计划。</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大城县部门固定资产占用情况表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编制部门：大城县臧屯镇人民政府</w:t>
            </w:r>
          </w:p>
        </w:tc>
        <w:tc>
          <w:tcPr>
            <w:tcW w:w="5103" w:type="dxa"/>
            <w:tcBorders>
              <w:top w:val="nil"/>
              <w:left w:val="nil"/>
              <w:bottom w:val="nil"/>
              <w:right w:val="nil"/>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截止时间：</w:t>
            </w:r>
            <w:r>
              <w:rPr>
                <w:rFonts w:ascii="仿宋_GB2312" w:hAnsi="Times New Roman" w:eastAsia="仿宋_GB2312" w:cs="Times New Roman"/>
                <w:kern w:val="0"/>
                <w:sz w:val="22"/>
              </w:rPr>
              <w:t>2020</w:t>
            </w:r>
            <w:r>
              <w:rPr>
                <w:rFonts w:hint="eastAsia" w:ascii="仿宋_GB2312" w:hAnsi="Times New Roman" w:eastAsia="仿宋_GB2312" w:cs="Times New Roman"/>
                <w:kern w:val="0"/>
                <w:sz w:val="22"/>
              </w:rPr>
              <w:t>年</w:t>
            </w:r>
            <w:r>
              <w:rPr>
                <w:rFonts w:ascii="仿宋_GB2312" w:hAnsi="Times New Roman" w:eastAsia="仿宋_GB2312" w:cs="Times New Roman"/>
                <w:kern w:val="0"/>
                <w:sz w:val="22"/>
              </w:rPr>
              <w:t>12</w:t>
            </w:r>
            <w:r>
              <w:rPr>
                <w:rFonts w:hint="eastAsia" w:ascii="仿宋_GB2312" w:hAnsi="Times New Roman" w:eastAsia="仿宋_GB2312" w:cs="Times New Roman"/>
                <w:kern w:val="0"/>
                <w:sz w:val="22"/>
              </w:rPr>
              <w:t>月</w:t>
            </w:r>
            <w:r>
              <w:rPr>
                <w:rFonts w:ascii="仿宋_GB2312" w:hAnsi="Times New Roman" w:eastAsia="仿宋_GB2312" w:cs="Times New Roman"/>
                <w:kern w:val="0"/>
                <w:sz w:val="22"/>
              </w:rPr>
              <w:t>31</w:t>
            </w:r>
            <w:r>
              <w:rPr>
                <w:rFonts w:hint="eastAsia" w:ascii="仿宋_GB2312" w:hAnsi="Times New Roman" w:eastAsia="仿宋_GB2312" w:cs="Times New Roman"/>
                <w:kern w:val="0"/>
                <w:sz w:val="22"/>
              </w:rPr>
              <w:t>日</w:t>
            </w:r>
            <w:r>
              <w:rPr>
                <w:rFonts w:ascii="仿宋_GB2312"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b/>
                <w:bCs/>
                <w:kern w:val="0"/>
                <w:sz w:val="22"/>
              </w:rPr>
            </w:pPr>
            <w:r>
              <w:rPr>
                <w:rFonts w:hint="eastAsia" w:ascii="仿宋_GB2312" w:hAnsi="Times New Roman" w:eastAsia="仿宋_GB2312" w:cs="Times New Roman"/>
                <w:b/>
                <w:bCs/>
                <w:kern w:val="0"/>
                <w:sz w:val="22"/>
              </w:rPr>
              <w:t>项</w:t>
            </w:r>
            <w:r>
              <w:rPr>
                <w:rFonts w:ascii="仿宋_GB2312" w:hAnsi="Times New Roman" w:eastAsia="仿宋_GB2312" w:cs="Times New Roman"/>
                <w:b/>
                <w:bCs/>
                <w:kern w:val="0"/>
                <w:sz w:val="22"/>
              </w:rPr>
              <w:t xml:space="preserve">   </w:t>
            </w:r>
            <w:r>
              <w:rPr>
                <w:rFonts w:hint="eastAsia" w:ascii="仿宋_GB2312"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b/>
                <w:bCs/>
                <w:kern w:val="0"/>
                <w:sz w:val="22"/>
              </w:rPr>
            </w:pPr>
            <w:r>
              <w:rPr>
                <w:rFonts w:hint="eastAsia" w:ascii="仿宋_GB2312"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b/>
                <w:bCs/>
                <w:kern w:val="0"/>
                <w:sz w:val="22"/>
              </w:rPr>
            </w:pPr>
            <w:r>
              <w:rPr>
                <w:rFonts w:hint="eastAsia" w:ascii="仿宋_GB2312"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457.51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ascii="仿宋_GB2312" w:hAnsi="Times New Roman" w:eastAsia="仿宋_GB2312" w:cs="Times New Roman"/>
                <w:kern w:val="0"/>
                <w:sz w:val="22"/>
              </w:rPr>
              <w:t>1</w:t>
            </w:r>
            <w:r>
              <w:rPr>
                <w:rFonts w:hint="eastAsia" w:ascii="仿宋_GB2312"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2730</w:t>
            </w:r>
            <w:r>
              <w:rPr>
                <w:rFonts w:hint="eastAsia" w:ascii="仿宋_GB2312" w:hAnsi="宋体" w:eastAsia="仿宋_GB2312" w:cs="宋体"/>
                <w:kern w:val="0"/>
                <w:sz w:val="22"/>
              </w:rPr>
              <w:t>平米</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321.5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1200</w:t>
            </w:r>
            <w:r>
              <w:rPr>
                <w:rFonts w:hint="eastAsia" w:ascii="仿宋_GB2312" w:hAnsi="宋体" w:eastAsia="仿宋_GB2312" w:cs="宋体"/>
                <w:kern w:val="0"/>
                <w:sz w:val="22"/>
              </w:rPr>
              <w:t>平米</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145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ascii="仿宋_GB2312" w:hAnsi="Times New Roman" w:eastAsia="仿宋_GB2312" w:cs="Times New Roman"/>
                <w:kern w:val="0"/>
                <w:sz w:val="22"/>
              </w:rPr>
              <w:t>2</w:t>
            </w:r>
            <w:r>
              <w:rPr>
                <w:rFonts w:hint="eastAsia" w:ascii="仿宋_GB2312"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6</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103.77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ascii="仿宋_GB2312" w:hAnsi="Times New Roman" w:eastAsia="仿宋_GB2312" w:cs="Times New Roman"/>
                <w:kern w:val="0"/>
                <w:sz w:val="22"/>
              </w:rPr>
              <w:t>3</w:t>
            </w:r>
            <w:r>
              <w:rPr>
                <w:rFonts w:hint="eastAsia" w:ascii="仿宋_GB2312" w:hAnsi="Times New Roman" w:eastAsia="仿宋_GB2312" w:cs="Times New Roman"/>
                <w:kern w:val="0"/>
                <w:sz w:val="22"/>
              </w:rPr>
              <w:t>、单价在</w:t>
            </w:r>
            <w:r>
              <w:rPr>
                <w:rFonts w:ascii="仿宋_GB2312" w:hAnsi="Times New Roman" w:eastAsia="仿宋_GB2312" w:cs="Times New Roman"/>
                <w:kern w:val="0"/>
                <w:sz w:val="22"/>
              </w:rPr>
              <w:t>20</w:t>
            </w:r>
            <w:r>
              <w:rPr>
                <w:rFonts w:hint="eastAsia" w:ascii="仿宋_GB2312"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ascii="仿宋_GB2312" w:hAnsi="Times New Roman" w:eastAsia="仿宋_GB2312" w:cs="Times New Roman"/>
                <w:kern w:val="0"/>
                <w:sz w:val="22"/>
              </w:rPr>
              <w:t>4</w:t>
            </w:r>
            <w:r>
              <w:rPr>
                <w:rFonts w:hint="eastAsia" w:ascii="仿宋_GB2312"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144</w:t>
            </w:r>
          </w:p>
        </w:tc>
        <w:tc>
          <w:tcPr>
            <w:tcW w:w="5103"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 w:val="22"/>
              </w:rPr>
            </w:pPr>
            <w:r>
              <w:rPr>
                <w:rFonts w:ascii="仿宋_GB2312" w:hAnsi="宋体" w:eastAsia="仿宋_GB2312" w:cs="宋体"/>
                <w:kern w:val="0"/>
                <w:sz w:val="22"/>
              </w:rPr>
              <w:t>32.24</w:t>
            </w:r>
          </w:p>
        </w:tc>
      </w:tr>
    </w:tbl>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八、名词解释</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rPr>
        <w:t>、一般公共预算拨款收入：</w:t>
      </w:r>
      <w:r>
        <w:rPr>
          <w:rFonts w:hint="eastAsia" w:ascii="仿宋_GB2312" w:hAnsi="Times New Roman" w:eastAsia="仿宋_GB2312" w:cs="Times New Roman"/>
          <w:sz w:val="32"/>
          <w:szCs w:val="32"/>
        </w:rPr>
        <w:t>指县级财政当年拨付的资金。</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、事业收入：</w:t>
      </w:r>
      <w:r>
        <w:rPr>
          <w:rFonts w:hint="eastAsia" w:ascii="仿宋_GB2312"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、其他收入：</w:t>
      </w:r>
      <w:r>
        <w:rPr>
          <w:rFonts w:hint="eastAsia" w:ascii="仿宋_GB2312"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4</w:t>
      </w:r>
      <w:r>
        <w:rPr>
          <w:rFonts w:hint="eastAsia" w:ascii="仿宋_GB2312" w:hAnsi="Times New Roman" w:eastAsia="仿宋_GB2312" w:cs="Times New Roman"/>
          <w:b/>
          <w:sz w:val="32"/>
          <w:szCs w:val="32"/>
        </w:rPr>
        <w:t>、基本支出：</w:t>
      </w:r>
      <w:r>
        <w:rPr>
          <w:rFonts w:hint="eastAsia" w:ascii="仿宋_GB2312"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5</w:t>
      </w:r>
      <w:r>
        <w:rPr>
          <w:rFonts w:hint="eastAsia" w:ascii="仿宋_GB2312" w:hAnsi="Times New Roman" w:eastAsia="仿宋_GB2312" w:cs="Times New Roman"/>
          <w:b/>
          <w:sz w:val="32"/>
          <w:szCs w:val="32"/>
        </w:rPr>
        <w:t>、项目支出：</w:t>
      </w:r>
      <w:r>
        <w:rPr>
          <w:rFonts w:hint="eastAsia" w:ascii="仿宋_GB2312"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6</w:t>
      </w:r>
      <w:r>
        <w:rPr>
          <w:rFonts w:hint="eastAsia" w:ascii="仿宋_GB2312" w:hAnsi="Times New Roman" w:eastAsia="仿宋_GB2312" w:cs="Times New Roman"/>
          <w:b/>
          <w:sz w:val="32"/>
          <w:szCs w:val="32"/>
        </w:rPr>
        <w:t>、上缴上级支出：</w:t>
      </w:r>
      <w:r>
        <w:rPr>
          <w:rFonts w:hint="eastAsia" w:ascii="仿宋_GB2312" w:hAnsi="Times New Roman" w:eastAsia="仿宋_GB2312" w:cs="Times New Roman"/>
          <w:sz w:val="32"/>
          <w:szCs w:val="32"/>
        </w:rPr>
        <w:t>指下级单位上缴上级的支出。</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7</w:t>
      </w:r>
      <w:r>
        <w:rPr>
          <w:rFonts w:hint="eastAsia" w:ascii="仿宋_GB2312" w:hAnsi="Times New Roman" w:eastAsia="仿宋_GB2312" w:cs="Times New Roman"/>
          <w:b/>
          <w:sz w:val="32"/>
          <w:szCs w:val="32"/>
        </w:rPr>
        <w:t>、“三公”经费：</w:t>
      </w:r>
      <w:r>
        <w:rPr>
          <w:rFonts w:hint="eastAsia" w:ascii="仿宋_GB2312" w:hAnsi="Times New Roman" w:eastAsia="仿宋_GB2312" w:cs="Times New Roman"/>
          <w:sz w:val="32"/>
          <w:szCs w:val="32"/>
        </w:rPr>
        <w:t>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8</w:t>
      </w:r>
      <w:r>
        <w:rPr>
          <w:rFonts w:hint="eastAsia" w:ascii="仿宋_GB2312" w:hAnsi="Times New Roman" w:eastAsia="仿宋_GB2312" w:cs="Times New Roman"/>
          <w:b/>
          <w:sz w:val="32"/>
          <w:szCs w:val="32"/>
        </w:rPr>
        <w:t>、机关运行费：</w:t>
      </w:r>
      <w:r>
        <w:rPr>
          <w:rFonts w:hint="eastAsia" w:ascii="仿宋_GB2312"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9</w:t>
      </w:r>
      <w:r>
        <w:rPr>
          <w:rFonts w:hint="eastAsia" w:ascii="仿宋_GB2312" w:hAnsi="Times New Roman" w:eastAsia="仿宋_GB2312" w:cs="Times New Roman"/>
          <w:b/>
          <w:sz w:val="32"/>
          <w:szCs w:val="32"/>
        </w:rPr>
        <w:t>、上年结转：</w:t>
      </w:r>
      <w:r>
        <w:rPr>
          <w:rFonts w:hint="eastAsia" w:ascii="仿宋_GB2312"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10</w:t>
      </w:r>
      <w:r>
        <w:rPr>
          <w:rFonts w:hint="eastAsia" w:ascii="仿宋_GB2312" w:hAnsi="Times New Roman" w:eastAsia="仿宋_GB2312" w:cs="Times New Roman"/>
          <w:b/>
          <w:sz w:val="32"/>
          <w:szCs w:val="32"/>
        </w:rPr>
        <w:t>、事业单位经营支出：</w:t>
      </w:r>
      <w:r>
        <w:rPr>
          <w:rFonts w:hint="eastAsia" w:ascii="仿宋_GB2312"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九、其他需要说明的事项</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ÂËÎ">
    <w:altName w:val="MS Gothic"/>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w:t>
    </w:r>
    <w:r>
      <w:fldChar w:fldCharType="begin"/>
    </w:r>
    <w:r>
      <w:instrText xml:space="preserve">PAGE   \* MERGEFORMAT</w:instrText>
    </w:r>
    <w:r>
      <w:fldChar w:fldCharType="separate"/>
    </w:r>
    <w:r>
      <w:rPr>
        <w:lang w:val="zh-CN"/>
      </w:rPr>
      <w:t>1</w:t>
    </w:r>
    <w:r>
      <w:rPr>
        <w:lang w:val="zh-CN"/>
      </w:rPr>
      <w:fldChar w:fldCharType="end"/>
    </w:r>
    <w: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JmZTA2MmQyMjk2ZDMzNzhhMjc5MWY4M2E5NjY3ZjgifQ=="/>
  </w:docVars>
  <w:rsids>
    <w:rsidRoot w:val="00D347CC"/>
    <w:rsid w:val="0001704C"/>
    <w:rsid w:val="00023AD6"/>
    <w:rsid w:val="000509CD"/>
    <w:rsid w:val="00081251"/>
    <w:rsid w:val="00085A7D"/>
    <w:rsid w:val="000B6F73"/>
    <w:rsid w:val="001005D7"/>
    <w:rsid w:val="00185DBF"/>
    <w:rsid w:val="001B06DA"/>
    <w:rsid w:val="001B4456"/>
    <w:rsid w:val="00231F8B"/>
    <w:rsid w:val="0025699B"/>
    <w:rsid w:val="002762A7"/>
    <w:rsid w:val="0028389D"/>
    <w:rsid w:val="002C0067"/>
    <w:rsid w:val="00347E07"/>
    <w:rsid w:val="00351146"/>
    <w:rsid w:val="00354635"/>
    <w:rsid w:val="00356685"/>
    <w:rsid w:val="00372F0D"/>
    <w:rsid w:val="00386D16"/>
    <w:rsid w:val="003918B5"/>
    <w:rsid w:val="003A605B"/>
    <w:rsid w:val="00420428"/>
    <w:rsid w:val="00462DA5"/>
    <w:rsid w:val="00492410"/>
    <w:rsid w:val="004A4904"/>
    <w:rsid w:val="004A54AA"/>
    <w:rsid w:val="004A5A02"/>
    <w:rsid w:val="004D311B"/>
    <w:rsid w:val="00540A20"/>
    <w:rsid w:val="00562EB6"/>
    <w:rsid w:val="0056306A"/>
    <w:rsid w:val="005737E6"/>
    <w:rsid w:val="005D5A3B"/>
    <w:rsid w:val="005F10EE"/>
    <w:rsid w:val="00612BF2"/>
    <w:rsid w:val="00647841"/>
    <w:rsid w:val="006A00B5"/>
    <w:rsid w:val="006A257E"/>
    <w:rsid w:val="006B27A4"/>
    <w:rsid w:val="006D3252"/>
    <w:rsid w:val="006E08C1"/>
    <w:rsid w:val="006F6D6A"/>
    <w:rsid w:val="00720C28"/>
    <w:rsid w:val="00722448"/>
    <w:rsid w:val="007228D0"/>
    <w:rsid w:val="007318EA"/>
    <w:rsid w:val="007329B1"/>
    <w:rsid w:val="00751BD2"/>
    <w:rsid w:val="007779A0"/>
    <w:rsid w:val="007A2E08"/>
    <w:rsid w:val="007C1D2F"/>
    <w:rsid w:val="007D47D2"/>
    <w:rsid w:val="007D7D22"/>
    <w:rsid w:val="007E1C71"/>
    <w:rsid w:val="007F4437"/>
    <w:rsid w:val="00840337"/>
    <w:rsid w:val="00847514"/>
    <w:rsid w:val="008600DA"/>
    <w:rsid w:val="008878C3"/>
    <w:rsid w:val="008D0406"/>
    <w:rsid w:val="00920D26"/>
    <w:rsid w:val="00A1397E"/>
    <w:rsid w:val="00A21A94"/>
    <w:rsid w:val="00A41F40"/>
    <w:rsid w:val="00A620FE"/>
    <w:rsid w:val="00A81B8E"/>
    <w:rsid w:val="00A914B8"/>
    <w:rsid w:val="00AC02DF"/>
    <w:rsid w:val="00AD15B3"/>
    <w:rsid w:val="00AE0F41"/>
    <w:rsid w:val="00B1628E"/>
    <w:rsid w:val="00B20A0D"/>
    <w:rsid w:val="00B418B2"/>
    <w:rsid w:val="00B80935"/>
    <w:rsid w:val="00B85E2C"/>
    <w:rsid w:val="00B9040F"/>
    <w:rsid w:val="00B9572E"/>
    <w:rsid w:val="00BF39D4"/>
    <w:rsid w:val="00C06B4A"/>
    <w:rsid w:val="00C17CEF"/>
    <w:rsid w:val="00CA1DAE"/>
    <w:rsid w:val="00CB1449"/>
    <w:rsid w:val="00D347CC"/>
    <w:rsid w:val="00D476E9"/>
    <w:rsid w:val="00D601D8"/>
    <w:rsid w:val="00D62C02"/>
    <w:rsid w:val="00D778FB"/>
    <w:rsid w:val="00DB7287"/>
    <w:rsid w:val="00DD0D45"/>
    <w:rsid w:val="00DD5AA6"/>
    <w:rsid w:val="00DF167C"/>
    <w:rsid w:val="00E41773"/>
    <w:rsid w:val="00ED18D0"/>
    <w:rsid w:val="00F14EBD"/>
    <w:rsid w:val="00F2797A"/>
    <w:rsid w:val="00F4445D"/>
    <w:rsid w:val="00F54518"/>
    <w:rsid w:val="00F76ED1"/>
    <w:rsid w:val="00F91F08"/>
    <w:rsid w:val="02732F88"/>
    <w:rsid w:val="032838EB"/>
    <w:rsid w:val="07A63294"/>
    <w:rsid w:val="16E73D24"/>
    <w:rsid w:val="310103F1"/>
    <w:rsid w:val="3F8A033F"/>
    <w:rsid w:val="46E71798"/>
    <w:rsid w:val="48EC1496"/>
    <w:rsid w:val="55E73D2F"/>
    <w:rsid w:val="59ED03E0"/>
    <w:rsid w:val="6D0D4676"/>
    <w:rsid w:val="78295334"/>
    <w:rsid w:val="7A411B9B"/>
    <w:rsid w:val="7BF65C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nhideWhenUsed="0" w:uiPriority="99" w:semiHidden="0" w:name="footnote reference"/>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iPriority w:val="99"/>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2"/>
    <w:autoRedefine/>
    <w:qFormat/>
    <w:uiPriority w:val="99"/>
    <w:rPr>
      <w:rFonts w:cs="Times New Roman"/>
      <w:szCs w:val="24"/>
    </w:rPr>
  </w:style>
  <w:style w:type="paragraph" w:styleId="3">
    <w:name w:val="Balloon Text"/>
    <w:basedOn w:val="1"/>
    <w:link w:val="13"/>
    <w:autoRedefine/>
    <w:qFormat/>
    <w:uiPriority w:val="99"/>
    <w:rPr>
      <w:sz w:val="18"/>
      <w:szCs w:val="18"/>
    </w:rPr>
  </w:style>
  <w:style w:type="paragraph" w:styleId="4">
    <w:name w:val="footer"/>
    <w:basedOn w:val="1"/>
    <w:link w:val="14"/>
    <w:autoRedefine/>
    <w:qFormat/>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15"/>
    <w:autoRedefine/>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99"/>
    <w:rPr>
      <w:rFonts w:ascii="Times New Roman" w:hAnsi="Times New Roman" w:cs="Times New Roman"/>
      <w:szCs w:val="24"/>
    </w:rPr>
  </w:style>
  <w:style w:type="paragraph" w:styleId="7">
    <w:name w:val="footnote text"/>
    <w:basedOn w:val="1"/>
    <w:link w:val="16"/>
    <w:autoRedefine/>
    <w:qFormat/>
    <w:uiPriority w:val="99"/>
    <w:pPr>
      <w:snapToGrid w:val="0"/>
      <w:jc w:val="left"/>
    </w:pPr>
    <w:rPr>
      <w:rFonts w:cs="Times New Roman"/>
      <w:sz w:val="18"/>
      <w:szCs w:val="18"/>
    </w:rPr>
  </w:style>
  <w:style w:type="paragraph" w:styleId="8">
    <w:name w:val="toc 2"/>
    <w:basedOn w:val="1"/>
    <w:next w:val="1"/>
    <w:autoRedefine/>
    <w:qFormat/>
    <w:uiPriority w:val="99"/>
    <w:pPr>
      <w:ind w:left="200" w:leftChars="200"/>
    </w:pPr>
    <w:rPr>
      <w:rFonts w:ascii="Times New Roman" w:hAnsi="Times New Roman" w:cs="Times New Roman"/>
      <w:szCs w:val="24"/>
    </w:rPr>
  </w:style>
  <w:style w:type="character" w:styleId="11">
    <w:name w:val="footnote reference"/>
    <w:basedOn w:val="10"/>
    <w:uiPriority w:val="99"/>
    <w:rPr>
      <w:rFonts w:cs="Times New Roman"/>
      <w:vertAlign w:val="superscript"/>
    </w:rPr>
  </w:style>
  <w:style w:type="character" w:customStyle="1" w:styleId="12">
    <w:name w:val="Body Text Char"/>
    <w:basedOn w:val="10"/>
    <w:link w:val="2"/>
    <w:autoRedefine/>
    <w:semiHidden/>
    <w:qFormat/>
    <w:locked/>
    <w:uiPriority w:val="99"/>
    <w:rPr>
      <w:rFonts w:ascii="Calibri" w:hAnsi="Calibri" w:cs="Arial"/>
    </w:rPr>
  </w:style>
  <w:style w:type="character" w:customStyle="1" w:styleId="13">
    <w:name w:val="Balloon Text Char"/>
    <w:basedOn w:val="10"/>
    <w:link w:val="3"/>
    <w:autoRedefine/>
    <w:semiHidden/>
    <w:qFormat/>
    <w:locked/>
    <w:uiPriority w:val="99"/>
    <w:rPr>
      <w:rFonts w:ascii="Calibri" w:hAnsi="Calibri" w:cs="Arial"/>
      <w:sz w:val="2"/>
    </w:rPr>
  </w:style>
  <w:style w:type="character" w:customStyle="1" w:styleId="14">
    <w:name w:val="Footer Char"/>
    <w:basedOn w:val="10"/>
    <w:link w:val="4"/>
    <w:autoRedefine/>
    <w:semiHidden/>
    <w:qFormat/>
    <w:locked/>
    <w:uiPriority w:val="99"/>
    <w:rPr>
      <w:rFonts w:ascii="Calibri" w:hAnsi="Calibri" w:cs="Arial"/>
      <w:sz w:val="18"/>
      <w:szCs w:val="18"/>
    </w:rPr>
  </w:style>
  <w:style w:type="character" w:customStyle="1" w:styleId="15">
    <w:name w:val="Header Char"/>
    <w:basedOn w:val="10"/>
    <w:link w:val="5"/>
    <w:autoRedefine/>
    <w:semiHidden/>
    <w:qFormat/>
    <w:locked/>
    <w:uiPriority w:val="99"/>
    <w:rPr>
      <w:rFonts w:ascii="Calibri" w:hAnsi="Calibri" w:cs="Arial"/>
      <w:sz w:val="18"/>
      <w:szCs w:val="18"/>
    </w:rPr>
  </w:style>
  <w:style w:type="character" w:customStyle="1" w:styleId="16">
    <w:name w:val="Footnote Text Char"/>
    <w:basedOn w:val="10"/>
    <w:link w:val="7"/>
    <w:autoRedefine/>
    <w:semiHidden/>
    <w:qFormat/>
    <w:locked/>
    <w:uiPriority w:val="99"/>
    <w:rPr>
      <w:rFonts w:ascii="Calibri" w:hAnsi="Calibri" w:cs="Arial"/>
      <w:sz w:val="18"/>
      <w:szCs w:val="18"/>
    </w:rPr>
  </w:style>
  <w:style w:type="paragraph" w:customStyle="1" w:styleId="17">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29</Pages>
  <Words>2509</Words>
  <Characters>14307</Characters>
  <Lines>0</Lines>
  <Paragraphs>0</Paragraphs>
  <TotalTime>25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闺蜜</cp:lastModifiedBy>
  <cp:lastPrinted>2018-01-30T06:12:00Z</cp:lastPrinted>
  <dcterms:modified xsi:type="dcterms:W3CDTF">2024-05-21T02:53:31Z</dcterms:modified>
  <dc:title>大城县臧屯镇2022年部门预算信息公开情况说明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66B21AA3B3D64BAB976B49D3C98E3CFC</vt:lpwstr>
  </property>
</Properties>
</file>