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中共河北省</w:t>
      </w: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委办公室</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中共河北省</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委办公室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仿宋" w:hAnsi="仿宋" w:eastAsia="仿宋" w:cs="??_GB2312"/>
          <w:bCs/>
          <w:sz w:val="32"/>
          <w:szCs w:val="32"/>
        </w:rPr>
      </w:pPr>
      <w:r>
        <w:rPr>
          <w:rFonts w:ascii="Times New Roman" w:hAnsi="Times New Roman" w:eastAsia="楷体_GB2312" w:cs="Times New Roman"/>
          <w:b/>
          <w:sz w:val="32"/>
          <w:szCs w:val="32"/>
        </w:rPr>
        <w:t>部门职责：</w:t>
      </w:r>
      <w:r>
        <w:rPr>
          <w:rFonts w:hint="eastAsia" w:ascii="Times New Roman" w:hAnsi="Times New Roman" w:eastAsia="仿宋_GB2312" w:cs="Times New Roman"/>
          <w:sz w:val="32"/>
          <w:szCs w:val="32"/>
        </w:rPr>
        <w:t>中共河北省大城县委办公室主要职责是县委文件的上报下达、文件传阅，信息反馈、编发，搞好调查调研，为领导决策提供依据。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、承担县委、县委领导同志交办的文件、讲话等文稿的起草或修改工作；负责县委文件和县委办公室代县委行文的起草和核审工作；承担为县委制定决策和有关政策的服务工作；负责内刊编辑工作。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2、围绕中央和省、市、县委总体工作部署开展综合、专题调研、收集和处理信息、反馈动态。</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3、承担中央和省、市、县委重要工作部署贯彻落实的督促检查，负责中央和省、市、县委领导同志批示件的转达和催办落实。</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4、负责县委日常文书处理和值班工作，以及各种会议的会务工作和县委日常工作活动的组织安排。</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承担县委保密委员会和县密码工作领导小组的日常工作；负责对全县涉密实施单位业务领导；负责组织实施全县密码通信工作；负责全县党政机关及经济、科学等领域保密管理，通信和计算机网络的保密管理，全县密码的装备、使用和管理；负责失泄密事件的查处工作；负责全县电子政务内网建设和管理工作；负责全县涉密人员教育培训工作；县委保密委员会和县密码工作领导小组交办的其他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负责组织开展全县全面深化改革重大问题的调查研究，督促、推动各镇（区）、县直各部门落实县委全面深化改革委员会决定事项、工作部署；负责协调提出全县中长期改革规划建议和年度工作要点，对拟出台的涉及重大改革事项的政策性文件进行审核；承办各镇（区）、县直各部门向县委全面深改革委员会的请示和备案事项，向县委全面深化改革委员会提出建议；承担县委全面深化改革委员会的日常工作，负责提交县委全面深化改革委员会会议研究的议题及相关会议的组织服务工作；负责对各专项小组的工作统筹、协调、督促、检查、推动，并进行年度改革工作考核；完成县委全面深化改革委员会交办的其他任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7、负责全县档案事业宏观管理和执法复议、监督指导等工作。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8、负责县委领导同志和部分原县级领导同志以及本室离退休同志的生活服务和阅文、参加有关活动的事务服务工作。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9、  负责县委机关房产、基建、维修、物资分配和其他行政事务工作，负责管理县委机关的经费预算决算、经费拨款和财务审计。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10、负责上级党委领导、兄弟省、市、县党委领导同志以及办公室系统来客的接待服务工作，负责县委领导交办的其他接待任务。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11、负责本室的人事管理和党务工作；指导县委机关的党建工作；负责县委机关的精神文明建设和安全保卫工作。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12、完成县委交办的其他任务。</w:t>
      </w: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中共河北省大城县委办公室（本级）</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default"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副处级</w:t>
            </w:r>
          </w:p>
        </w:tc>
        <w:tc>
          <w:tcPr>
            <w:tcW w:w="2902"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财政</w:t>
            </w:r>
            <w:r>
              <w:rPr>
                <w:rFonts w:hint="eastAsia" w:ascii="Times New Roman" w:hAnsi="Times New Roman" w:eastAsia="仿宋_GB2312" w:cs="Times New Roman"/>
                <w:b/>
                <w:sz w:val="21"/>
                <w:szCs w:val="21"/>
                <w:lang w:val="en-US" w:eastAsia="zh-CN"/>
              </w:rPr>
              <w:t>拨</w:t>
            </w:r>
            <w:r>
              <w:rPr>
                <w:rFonts w:hint="eastAsia" w:ascii="Times New Roman" w:hAnsi="Times New Roman" w:eastAsia="仿宋_GB2312" w:cs="Times New Roman"/>
                <w:b/>
                <w:lang w:val="en-US" w:eastAsia="zh-CN"/>
              </w:rPr>
              <w:t>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val="en-US" w:eastAsia="zh-CN"/>
        </w:rPr>
        <w:t>中共河北省</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委办公室</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楷体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848.33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848.33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楷体_GB2312" w:cs="Times New Roman"/>
          <w:b/>
          <w:sz w:val="32"/>
          <w:szCs w:val="32"/>
        </w:rPr>
      </w:pPr>
      <w:r>
        <w:rPr>
          <w:rFonts w:ascii="Times New Roman" w:hAnsi="Times New Roman" w:eastAsia="楷体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848.33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847.73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681.69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166.04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建档立卡脱贫户生产生活补助金</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楷体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849.33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减少981.13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183.81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人员类项目支出增加</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val="en-US" w:eastAsia="zh-CN"/>
        </w:rPr>
        <w:t>减少1164.93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压减项目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166.04</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ascii="Times New Roman" w:hAnsi="Times New Roman" w:eastAsia="仿宋_GB2312" w:cs="Times New Roman"/>
          <w:b/>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减少9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6万元与2022年持平无增减变化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减少9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r>
        <w:rPr>
          <w:rFonts w:hint="eastAsia" w:ascii="Times New Roman" w:hAnsi="Times New Roman" w:eastAsia="仿宋_GB2312" w:cs="Times New Roman"/>
          <w:sz w:val="32"/>
          <w:szCs w:val="32"/>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楷体_GB2312" w:eastAsia="楷体_GB2312" w:cs="Times New Roman"/>
          <w:b/>
          <w:sz w:val="32"/>
          <w:szCs w:val="32"/>
        </w:rPr>
      </w:pPr>
      <w:r>
        <w:rPr>
          <w:rFonts w:ascii="Times New Roman" w:hAnsi="Times New Roman" w:eastAsia="仿宋_GB2312" w:cs="Times New Roman"/>
          <w:kern w:val="2"/>
          <w:sz w:val="32"/>
          <w:szCs w:val="32"/>
          <w:lang w:val="en-US" w:eastAsia="zh-CN" w:bidi="ar-SA"/>
        </w:rPr>
        <w:t>大城县委办公室在市委办公室的精心指导和县委的坚强领导下，认真贯彻落实习近平新时代中国特色社会主义思想和习近平系列</w:t>
      </w:r>
      <w:r>
        <w:rPr>
          <w:rFonts w:hint="eastAsia" w:ascii="Times New Roman" w:hAnsi="Times New Roman" w:eastAsia="仿宋_GB2312" w:cs="Times New Roman"/>
          <w:kern w:val="2"/>
          <w:sz w:val="32"/>
          <w:szCs w:val="32"/>
          <w:lang w:val="en-US" w:eastAsia="zh-CN" w:bidi="ar-SA"/>
        </w:rPr>
        <w:t>重要</w:t>
      </w:r>
      <w:r>
        <w:rPr>
          <w:rFonts w:ascii="Times New Roman" w:hAnsi="Times New Roman" w:eastAsia="仿宋_GB2312" w:cs="Times New Roman"/>
          <w:kern w:val="2"/>
          <w:sz w:val="32"/>
          <w:szCs w:val="32"/>
          <w:lang w:val="en-US" w:eastAsia="zh-CN" w:bidi="ar-SA"/>
        </w:rPr>
        <w:t>讲话精神，牢固树立“四个意识”，充分发挥参谋助手、综合协调、督查落实、后勤保障等职能作用，抓执行决策落实，抓服务保障优化，确保各项工作运行有序、高效推进，为全县经济社会发展作出重要贡献。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1.参谋协调运转：保障县委办公室大型会议、重大活动的正常、顺利举办；保障县委公文正常运转。</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绩效目标：县委公文运转、大型会议和活动组织安排、公务接待。</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绩效指标：保障县委办公室大型会议、重大活动的正常、顺利举办；保障县委公文正常运转。</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 xml:space="preserve"> 2.信息收集和督查调研：围绕省市和县委、县政府的重大决策部署，围绕县领导重要批示和指示，围绕热点难点问题，明确责任、定出措施，按节点考核、按时间推进。通过调研课题就党和政府关注的问题，提出客观、有价值、有分量、有影响的意见建议，促进决策民主化和科学化。</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效绩目标：党委系统信息工作的组织、协调和指导及省市、县委重大决策部署贯彻落实的督促检查。</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绩效指标：社情民意、宣传报道完成率及督查督办按时办结率。</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3.全县党委系统公务内网建设：全县公务内网的建设和管理；计算机信息网络建设的技术开发、指导和培训；组织协调各类信息资源的上网和扩充，保障网络和信息安全。</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效绩目标：数据资源丰富、数据正版、权威可靠，用户满意度高。线路畅通，系统运行稳定。</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绩效指标：保障网络信息安全、正常运转。</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4.保密机要事务管理：涉密</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5.值班工作规范化建设：严格按照省市要求，提高全县值班工作规范化水平。</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效绩目标：严格按照省市要求，提高全县值班工作规范化水平。</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绩效指标：督导、检查、推动全县值班工作，组织开展值班业务培训，做好县委和各乡镇（区、处）、县直各单位值班工作规范化建设。</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6.档案管理工作：负责县委、县委办公室文件、资料的归档、管理工作；负责全县档案事业的宏观管理；制定全县档案事业发展的综合规划和专项计划；制定全县各级档案馆建设规划并指导实施；依据《</w:t>
      </w:r>
      <w:r>
        <w:rPr>
          <w:rFonts w:hint="eastAsia" w:ascii="Times New Roman" w:hAnsi="Times New Roman" w:eastAsia="仿宋_GB2312" w:cs="Times New Roman"/>
          <w:kern w:val="2"/>
          <w:sz w:val="32"/>
          <w:szCs w:val="32"/>
          <w:lang w:val="en-US" w:eastAsia="zh-CN" w:bidi="ar-SA"/>
        </w:rPr>
        <w:t>中华人民共和国</w:t>
      </w:r>
      <w:r>
        <w:rPr>
          <w:rFonts w:ascii="Times New Roman" w:hAnsi="Times New Roman" w:eastAsia="仿宋_GB2312" w:cs="Times New Roman"/>
          <w:kern w:val="2"/>
          <w:sz w:val="32"/>
          <w:szCs w:val="32"/>
          <w:lang w:val="en-US" w:eastAsia="zh-CN" w:bidi="ar-SA"/>
        </w:rPr>
        <w:t>档案法》等有关法律法规，负责档案行政执法工作。</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效绩目标：确保全县档案工作的合理开展，完成领导交办的其他工作。</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绩效指标：档案工作完成率。</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7.党风廉政建设：实行例会制度，建立工作台账，健全完善全县各级主体办。协调落实全县主体责任考核评价工作。</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效绩目标：负责全县落实党风廉政建设主体责任相关文稿起草、制定规章制度、组织实施、督导落实、阶段性总结、考核评价等各项工作。</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绩效指标：确保全县党风廉政建设主体责任各项工作落实到位。</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8.全面深化改革工作：促进全县全面深化改革工作要点和重要改革举措施完成，确保上级深化改革措施的贯彻落实。</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效绩目标：促进全县全面深化改革工作要点和重要改革举措完成，确保中央、省、市委深化改革政措施的贯彻落实。</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绩效指标：全面深化改革工作完成率。</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9.县委事务管理：县委系统行政后勤管理；财务、固定资产管理，以及离退休同志的生活服务和阅文、参加有关活动的事务服务工作。</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效绩目标：后勤保障、财务管理、办公用房、办公车辆、办公用品和其他固定资产的管理。</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绩效指标：高质量完成各项事务管理工作任务。</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10.机关事务管理：保障机关工作任务高质高效。</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效绩目标：县直房地产管理，办公区域绿化、亮化管理，节能管理。</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绩效指标：保障机关工作任务高质高效完成。</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11. 综合服务保障：水、电、暖保障；对保安人员加强管理，加强对理发室人员、机关食堂及食堂工作人员的管理，加强对县级领导生活服务管理。</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效绩目标：保障机关后勤工作，保障正常工作秩序，保障搞好各种服务保障,服务周到。</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绩效指标：保障机关工作任务高质高效完成。</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12. 政务管理：承担系统综合业务管理和部门综合事务管理。</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效绩目标：促进全县机关事务管理工作科学发展。</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绩效指标：承担系统综合业务管理和部门综合事务管理。</w:t>
      </w:r>
    </w:p>
    <w:p>
      <w:pPr>
        <w:pStyle w:val="23"/>
        <w:numPr>
          <w:ilvl w:val="0"/>
          <w:numId w:val="1"/>
        </w:numPr>
        <w:ind w:firstLine="64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党建办公室：负责县委党务公开的具体工作；统筹协调和督促指导全县党务公开工作；负责县委办公室党支部的日常工作；负责县委办公室“三会一课”的组织协调工作；负责各类学习教育活动的组织协调和文字材料的起草及审核工作。</w:t>
      </w:r>
    </w:p>
    <w:p>
      <w:pPr>
        <w:pStyle w:val="23"/>
        <w:numPr>
          <w:ilvl w:val="0"/>
          <w:numId w:val="0"/>
        </w:num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效绩目标：确保县委办公室机关党支部的各项日常工作正常开展，完成领导交办的其他工作。</w:t>
      </w:r>
    </w:p>
    <w:p>
      <w:pPr>
        <w:pStyle w:val="23"/>
        <w:ind w:firstLine="636" w:firstLineChars="199"/>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绩效指标：达到领导满意。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val="0"/>
        <w:spacing w:line="600" w:lineRule="atLeast"/>
        <w:ind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在中共大城县委的坚强领导下，坚持以习近平新时代中国特色社会主义思想为统领，坚持新发展理念，聚焦产业振兴、环境治理、协同发展、统筹城乡、普惠民生，以改革创新的精神和勇气，认真履行宪法和法律赋予的各项职责，不忘初心、牢记使命，激情工作、奋力前行，为新时代加快建设经济强县、大美大城，决胜全面建成小康社会，实现“两个一百年”奋斗目标作出新的更大的贡献。</w:t>
      </w:r>
    </w:p>
    <w:p>
      <w:pPr>
        <w:widowControl w:val="0"/>
        <w:spacing w:line="600" w:lineRule="atLeast"/>
        <w:ind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1、加强组织领导。树牢“四个意识”，坚定“四个自信”，做到“两个维护”。一是旗帜鲜明讲政治。以政治建设为统领，持续深化“不忘初心、牢记使命”主题教育成果，确保县</w:t>
      </w:r>
      <w:r>
        <w:rPr>
          <w:rFonts w:hint="eastAsia" w:ascii="Times New Roman" w:hAnsi="Times New Roman" w:eastAsia="仿宋_GB2312" w:cs="Times New Roman"/>
          <w:kern w:val="2"/>
          <w:sz w:val="32"/>
          <w:szCs w:val="32"/>
          <w:lang w:val="en-US" w:eastAsia="zh-CN" w:bidi="ar-SA"/>
        </w:rPr>
        <w:t>委办公室</w:t>
      </w:r>
      <w:r>
        <w:rPr>
          <w:rFonts w:ascii="Times New Roman" w:hAnsi="Times New Roman" w:eastAsia="仿宋_GB2312" w:cs="Times New Roman"/>
          <w:kern w:val="2"/>
          <w:sz w:val="32"/>
          <w:szCs w:val="32"/>
          <w:lang w:val="en-US" w:eastAsia="zh-CN" w:bidi="ar-SA"/>
        </w:rPr>
        <w:t>始终在政治立场、政治方向、政治原则、政治道路上同以习近平</w:t>
      </w:r>
      <w:r>
        <w:rPr>
          <w:rFonts w:hint="eastAsia" w:ascii="Times New Roman" w:hAnsi="Times New Roman" w:eastAsia="仿宋_GB2312" w:cs="Times New Roman"/>
          <w:kern w:val="2"/>
          <w:sz w:val="32"/>
          <w:szCs w:val="32"/>
          <w:lang w:val="en-US" w:eastAsia="zh-CN" w:bidi="ar-SA"/>
        </w:rPr>
        <w:t>同志</w:t>
      </w:r>
      <w:r>
        <w:rPr>
          <w:rFonts w:ascii="Times New Roman" w:hAnsi="Times New Roman" w:eastAsia="仿宋_GB2312" w:cs="Times New Roman"/>
          <w:kern w:val="2"/>
          <w:sz w:val="32"/>
          <w:szCs w:val="32"/>
          <w:lang w:val="en-US" w:eastAsia="zh-CN" w:bidi="ar-SA"/>
        </w:rPr>
        <w:t>为核心的党中央保持高度一致。二是围绕中心定目标。紧扣县委中心工作，定目标、抓推进、补短板、求实效，以“功成不必在我、建功必定有我”的精神状态，找准县委办工作与全县中心工作的结合点，努力为全县发展大局贡献智慧和力量。</w:t>
      </w:r>
    </w:p>
    <w:p>
      <w:pPr>
        <w:widowControl w:val="0"/>
        <w:tabs>
          <w:tab w:val="left" w:pos="152"/>
        </w:tabs>
        <w:spacing w:line="600" w:lineRule="atLeast"/>
        <w:ind w:left="152" w:firstLine="48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完善制度建设。成立预算绩效管理领导小组、完善预算绩效管理制度、资金管理办法、工作保障制度等，建立统筹协调、分工协作、密切配合、合力推进的工作机制，建立健全制度体系，确保全年预算绩效目标的有效实现。</w:t>
      </w:r>
    </w:p>
    <w:p>
      <w:pPr>
        <w:widowControl w:val="0"/>
        <w:spacing w:line="600" w:lineRule="atLeast"/>
        <w:ind w:firstLine="6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全面实施预算绩效管理。一是加强绩效运行监控。遵循目标导向、权责对等、全面覆盖、突出重点、适时适当的原则按要求开展绩效运行监控，重点关注重大专项以及支出进度缓慢、管理基础薄弱的项目，动态掌握政策和项目进展，以及资金使用和绩效目标完成情况，发现问题及时采取措施，确保绩效目标如期保质实现。二是做好绩效自评。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三是加强支出管理。为加快我单位预算支出进度，提高财政资金使用效益，更好地促进县委办公室工作，通过优化支出结构、编细编实预算、加快履行政府采购手续、尽快启动项目、及时支付资金、按规定及进下达资金等多种措施，确保支出进度达标。</w:t>
      </w:r>
    </w:p>
    <w:p>
      <w:pPr>
        <w:widowControl w:val="0"/>
        <w:tabs>
          <w:tab w:val="left" w:pos="47"/>
        </w:tabs>
        <w:spacing w:line="600" w:lineRule="atLeast"/>
        <w:ind w:left="47"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规范财务资产管理。为了维护国有资产的完全和完整，提高固定资产使用效率，进一步强化固定资产管理，确保国有资产安全，我单位重点加强以下工作：（1）、固定资产日常管理。严格执行固定资产登记制度，持续加强固定资产台账的建立与完善。（2）、固定资产清查管理。核实报废或长期闲置的固定资产原值、已使用年限及折旧提取情况，及时向县财政局资产处核销及备案。</w:t>
      </w:r>
    </w:p>
    <w:p>
      <w:pPr>
        <w:widowControl w:val="0"/>
        <w:tabs>
          <w:tab w:val="left" w:pos="47"/>
        </w:tabs>
        <w:spacing w:line="600" w:lineRule="atLeast"/>
        <w:ind w:left="47"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加强内部监督。我单位积极贯彻落实各项财政财经政策，严格履行行政事业单位财务管理制度，以加强部门内部控制、建立内审体制机制和强化监督指导为重点，对会计资料进行内部审计，并配合做好审计等外部监督工作，确保财政资金安全有效。</w:t>
      </w:r>
    </w:p>
    <w:p>
      <w:pPr>
        <w:ind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加强宣传培训调研等。财务人员要加强业务学习，强化预算绩效管理意识，健全完善“预算编制有目标、预算执行有监控、预算完成有评价、评价结果有反馈、反馈结果有应用”的全过程预算绩效管理机制，促进预算绩效管理水平进一步提升。</w:t>
      </w: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保障科室运行数量</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科室数量</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保障科室运行数量</w:t>
            </w:r>
          </w:p>
        </w:tc>
        <w:tc>
          <w:tcPr>
            <w:tcW w:w="54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vertAlign w:val="subscript"/>
                <w:lang w:val="en-US" w:eastAsia="zh-CN" w:bidi="ar-SA"/>
              </w:rPr>
            </w:pPr>
            <w:r>
              <w:rPr>
                <w:rFonts w:hint="eastAsia" w:ascii="方正书宋_GBK" w:eastAsia="方正书宋_GBK"/>
                <w:vertAlign w:val="subscript"/>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30</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个</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科室数量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办公印刷等质量</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验收报告</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办公、印刷等质量</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维持机关运行</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保障2022年机关运行</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维持机关运行期间</w:t>
            </w:r>
          </w:p>
        </w:tc>
        <w:tc>
          <w:tcPr>
            <w:tcW w:w="54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12</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月</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保障2023年机关运行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经费支出</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年初预算</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经费支出</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1165.53</w:t>
            </w:r>
          </w:p>
        </w:tc>
        <w:tc>
          <w:tcPr>
            <w:tcW w:w="57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万元</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受益人数</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在职人员数</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受益工作人员</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47</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人</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在职人员数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spacing w:line="584" w:lineRule="exact"/>
              <w:rPr>
                <w:rFonts w:ascii="方正书宋_GBK" w:eastAsia="方正书宋_GBK"/>
              </w:rPr>
            </w:pPr>
          </w:p>
        </w:tc>
        <w:tc>
          <w:tcPr>
            <w:tcW w:w="2172" w:type="dxa"/>
            <w:tcBorders>
              <w:tl2br w:val="nil"/>
              <w:tr2bl w:val="nil"/>
            </w:tcBorders>
            <w:vAlign w:val="center"/>
          </w:tcPr>
          <w:p>
            <w:pPr>
              <w:widowControl/>
              <w:adjustRightInd w:val="0"/>
              <w:snapToGrid w:val="0"/>
              <w:spacing w:line="584" w:lineRule="exact"/>
              <w:rPr>
                <w:rFonts w:ascii="方正书宋_GBK" w:eastAsia="方正书宋_GBK"/>
              </w:rPr>
            </w:pPr>
          </w:p>
        </w:tc>
        <w:tc>
          <w:tcPr>
            <w:tcW w:w="1483" w:type="dxa"/>
            <w:tcBorders>
              <w:tl2br w:val="nil"/>
              <w:tr2bl w:val="nil"/>
            </w:tcBorders>
            <w:vAlign w:val="center"/>
          </w:tcPr>
          <w:p>
            <w:pPr>
              <w:widowControl/>
              <w:adjustRightInd w:val="0"/>
              <w:snapToGrid w:val="0"/>
              <w:spacing w:line="584" w:lineRule="exact"/>
              <w:rPr>
                <w:rFonts w:ascii="方正书宋_GBK" w:eastAsia="方正书宋_GBK"/>
              </w:rPr>
            </w:pPr>
          </w:p>
        </w:tc>
        <w:tc>
          <w:tcPr>
            <w:tcW w:w="543" w:type="dxa"/>
            <w:tcBorders>
              <w:tl2br w:val="nil"/>
              <w:tr2bl w:val="nil"/>
            </w:tcBorders>
            <w:vAlign w:val="center"/>
          </w:tcPr>
          <w:p>
            <w:pPr>
              <w:widowControl/>
              <w:adjustRightInd w:val="0"/>
              <w:snapToGrid w:val="0"/>
              <w:spacing w:line="584" w:lineRule="exact"/>
              <w:rPr>
                <w:rFonts w:ascii="方正书宋_GBK" w:eastAsia="方正书宋_GBK"/>
              </w:rPr>
            </w:pPr>
          </w:p>
        </w:tc>
        <w:tc>
          <w:tcPr>
            <w:tcW w:w="488" w:type="dxa"/>
            <w:tcBorders>
              <w:tl2br w:val="nil"/>
              <w:tr2bl w:val="nil"/>
            </w:tcBorders>
            <w:vAlign w:val="center"/>
          </w:tcPr>
          <w:p>
            <w:pPr>
              <w:widowControl/>
              <w:adjustRightInd w:val="0"/>
              <w:snapToGrid w:val="0"/>
              <w:spacing w:line="584" w:lineRule="exact"/>
              <w:rPr>
                <w:rFonts w:ascii="方正书宋_GBK" w:eastAsia="方正书宋_GBK"/>
              </w:rPr>
            </w:pPr>
          </w:p>
        </w:tc>
        <w:tc>
          <w:tcPr>
            <w:tcW w:w="573" w:type="dxa"/>
            <w:tcBorders>
              <w:tl2br w:val="nil"/>
              <w:tr2bl w:val="nil"/>
            </w:tcBorders>
            <w:vAlign w:val="center"/>
          </w:tcPr>
          <w:p>
            <w:pPr>
              <w:widowControl/>
              <w:adjustRightInd w:val="0"/>
              <w:snapToGrid w:val="0"/>
              <w:spacing w:line="584" w:lineRule="exact"/>
              <w:rPr>
                <w:rFonts w:ascii="方正书宋_GBK" w:eastAsia="方正书宋_GBK"/>
              </w:rPr>
            </w:pP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spacing w:line="584" w:lineRule="exact"/>
              <w:rPr>
                <w:rFonts w:ascii="方正书宋_GBK" w:eastAsia="方正书宋_GBK"/>
              </w:rPr>
            </w:pPr>
          </w:p>
        </w:tc>
        <w:tc>
          <w:tcPr>
            <w:tcW w:w="2172" w:type="dxa"/>
            <w:tcBorders>
              <w:tl2br w:val="nil"/>
              <w:tr2bl w:val="nil"/>
            </w:tcBorders>
            <w:vAlign w:val="center"/>
          </w:tcPr>
          <w:p>
            <w:pPr>
              <w:widowControl/>
              <w:adjustRightInd w:val="0"/>
              <w:snapToGrid w:val="0"/>
              <w:spacing w:line="584" w:lineRule="exact"/>
              <w:rPr>
                <w:rFonts w:ascii="方正书宋_GBK" w:eastAsia="方正书宋_GBK"/>
              </w:rPr>
            </w:pPr>
          </w:p>
        </w:tc>
        <w:tc>
          <w:tcPr>
            <w:tcW w:w="1483" w:type="dxa"/>
            <w:tcBorders>
              <w:tl2br w:val="nil"/>
              <w:tr2bl w:val="nil"/>
            </w:tcBorders>
            <w:vAlign w:val="center"/>
          </w:tcPr>
          <w:p>
            <w:pPr>
              <w:widowControl/>
              <w:adjustRightInd w:val="0"/>
              <w:snapToGrid w:val="0"/>
              <w:spacing w:line="584" w:lineRule="exact"/>
              <w:rPr>
                <w:rFonts w:ascii="方正书宋_GBK" w:eastAsia="方正书宋_GBK"/>
              </w:rPr>
            </w:pPr>
          </w:p>
        </w:tc>
        <w:tc>
          <w:tcPr>
            <w:tcW w:w="543" w:type="dxa"/>
            <w:tcBorders>
              <w:tl2br w:val="nil"/>
              <w:tr2bl w:val="nil"/>
            </w:tcBorders>
            <w:vAlign w:val="center"/>
          </w:tcPr>
          <w:p>
            <w:pPr>
              <w:widowControl/>
              <w:adjustRightInd w:val="0"/>
              <w:snapToGrid w:val="0"/>
              <w:spacing w:line="584" w:lineRule="exact"/>
              <w:rPr>
                <w:rFonts w:ascii="方正书宋_GBK" w:eastAsia="方正书宋_GBK"/>
              </w:rPr>
            </w:pPr>
          </w:p>
        </w:tc>
        <w:tc>
          <w:tcPr>
            <w:tcW w:w="488" w:type="dxa"/>
            <w:tcBorders>
              <w:tl2br w:val="nil"/>
              <w:tr2bl w:val="nil"/>
            </w:tcBorders>
            <w:vAlign w:val="center"/>
          </w:tcPr>
          <w:p>
            <w:pPr>
              <w:widowControl/>
              <w:adjustRightInd w:val="0"/>
              <w:snapToGrid w:val="0"/>
              <w:spacing w:line="584" w:lineRule="exact"/>
              <w:rPr>
                <w:rFonts w:ascii="方正书宋_GBK" w:eastAsia="方正书宋_GBK"/>
              </w:rPr>
            </w:pPr>
          </w:p>
        </w:tc>
        <w:tc>
          <w:tcPr>
            <w:tcW w:w="573" w:type="dxa"/>
            <w:tcBorders>
              <w:tl2br w:val="nil"/>
              <w:tr2bl w:val="nil"/>
            </w:tcBorders>
            <w:vAlign w:val="center"/>
          </w:tcPr>
          <w:p>
            <w:pPr>
              <w:widowControl/>
              <w:adjustRightInd w:val="0"/>
              <w:snapToGrid w:val="0"/>
              <w:spacing w:line="584" w:lineRule="exact"/>
              <w:rPr>
                <w:rFonts w:ascii="方正书宋_GBK" w:eastAsia="方正书宋_GBK"/>
              </w:rPr>
            </w:pP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2172"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1483"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服务对象满意度</w:t>
            </w:r>
          </w:p>
        </w:tc>
        <w:tc>
          <w:tcPr>
            <w:tcW w:w="2172"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问卷调查</w:t>
            </w:r>
          </w:p>
        </w:tc>
        <w:tc>
          <w:tcPr>
            <w:tcW w:w="1483"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工作人员</w:t>
            </w:r>
          </w:p>
        </w:tc>
        <w:tc>
          <w:tcPr>
            <w:tcW w:w="54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27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val="en-US" w:eastAsia="zh-CN"/>
              </w:rPr>
              <w:t>问卷调查</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建档立卡脱贫户生产生活补助金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发放贫困户数量</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发放建档立卡贫困户数</w:t>
            </w:r>
          </w:p>
        </w:tc>
        <w:tc>
          <w:tcPr>
            <w:tcW w:w="1843"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default" w:ascii="宋体" w:hAnsi="宋体" w:eastAsia="宋体" w:cs="宋体"/>
                <w:i w:val="0"/>
                <w:iCs w:val="0"/>
                <w:color w:val="000000"/>
                <w:sz w:val="18"/>
                <w:szCs w:val="18"/>
                <w:u w:val="none"/>
                <w:lang w:val="en-US" w:eastAsia="zh-CN"/>
              </w:rPr>
              <w:t>3</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发放金额达标</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资金全额发放到位</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达标</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发放及时到位</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建档立卡脱贫户</w:t>
            </w:r>
            <w:r>
              <w:rPr>
                <w:rFonts w:hint="eastAsia" w:ascii="宋体" w:hAnsi="宋体" w:eastAsia="宋体" w:cs="宋体"/>
                <w:i w:val="0"/>
                <w:iCs w:val="0"/>
                <w:color w:val="000000"/>
                <w:sz w:val="18"/>
                <w:szCs w:val="18"/>
                <w:u w:val="none"/>
              </w:rPr>
              <w:t>所需费用</w:t>
            </w:r>
            <w:bookmarkStart w:id="2" w:name="_GoBack"/>
            <w:bookmarkEnd w:id="2"/>
            <w:r>
              <w:rPr>
                <w:rFonts w:hint="eastAsia" w:ascii="宋体" w:hAnsi="宋体" w:eastAsia="宋体" w:cs="宋体"/>
                <w:i w:val="0"/>
                <w:iCs w:val="0"/>
                <w:color w:val="000000"/>
                <w:sz w:val="18"/>
                <w:szCs w:val="18"/>
                <w:u w:val="none"/>
              </w:rPr>
              <w:t>使用量</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及时</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198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数量达标率</w:t>
            </w:r>
          </w:p>
        </w:tc>
        <w:tc>
          <w:tcPr>
            <w:tcW w:w="3402"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发放资金控制在预算范围内</w:t>
            </w:r>
          </w:p>
        </w:tc>
        <w:tc>
          <w:tcPr>
            <w:tcW w:w="1843" w:type="dxa"/>
            <w:shd w:val="clear" w:color="auto" w:fill="auto"/>
            <w:vAlign w:val="top"/>
          </w:tcPr>
          <w:p>
            <w:pPr>
              <w:keepNext w:val="0"/>
              <w:keepLines w:val="0"/>
              <w:widowControl/>
              <w:suppressLineNumbers w:val="0"/>
              <w:jc w:val="left"/>
              <w:textAlignment w:val="top"/>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0.6万元</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宋体" w:hAnsi="宋体" w:eastAsia="宋体" w:cs="宋体"/>
                <w:i w:val="0"/>
                <w:iCs w:val="0"/>
                <w:color w:val="000000"/>
                <w:kern w:val="2"/>
                <w:sz w:val="18"/>
                <w:szCs w:val="18"/>
                <w:u w:val="none"/>
                <w:lang w:val="en-US" w:eastAsia="zh-CN" w:bidi="ar-SA"/>
              </w:rPr>
              <w:t>每户0.2万元共3户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维护社会稳定</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落实政府“暖心工程”达到维护社会稳定的影响</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显著</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经济效益指标</w:t>
            </w:r>
          </w:p>
        </w:tc>
        <w:tc>
          <w:tcPr>
            <w:tcW w:w="1985"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sz w:val="18"/>
                <w:szCs w:val="18"/>
              </w:rPr>
              <w:t>减轻贫困户经济负担的效果</w:t>
            </w:r>
          </w:p>
        </w:tc>
        <w:tc>
          <w:tcPr>
            <w:tcW w:w="3402"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对减轻贫困户经济负担的影响</w:t>
            </w:r>
          </w:p>
        </w:tc>
        <w:tc>
          <w:tcPr>
            <w:tcW w:w="1843"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显著</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可持续影响指标</w:t>
            </w:r>
          </w:p>
        </w:tc>
        <w:tc>
          <w:tcPr>
            <w:tcW w:w="1985"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维护社会稳定，鼓励贫困户脱贫信心效果</w:t>
            </w:r>
          </w:p>
        </w:tc>
        <w:tc>
          <w:tcPr>
            <w:tcW w:w="3402"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对维护社会稳定，鼓励贫困户脱贫信心效果的影响</w:t>
            </w:r>
          </w:p>
        </w:tc>
        <w:tc>
          <w:tcPr>
            <w:tcW w:w="1843"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显著</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服务对象满意度指标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发放人员满意度</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val="0"/>
                <w:bCs w:val="0"/>
                <w:i w:val="0"/>
                <w:iCs w:val="0"/>
                <w:color w:val="000000"/>
                <w:sz w:val="18"/>
                <w:szCs w:val="18"/>
                <w:u w:val="none"/>
                <w:lang w:val="en-US" w:eastAsia="zh-CN"/>
              </w:rPr>
              <w:t>建档立卡贫困户对项目实施满意度</w:t>
            </w:r>
          </w:p>
        </w:tc>
        <w:tc>
          <w:tcPr>
            <w:tcW w:w="1843" w:type="dxa"/>
            <w:shd w:val="clear" w:color="auto" w:fill="auto"/>
            <w:vAlign w:val="top"/>
          </w:tcPr>
          <w:p>
            <w:pPr>
              <w:spacing w:line="584" w:lineRule="exact"/>
              <w:jc w:val="left"/>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95%</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bl>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lang w:val="en-US" w:eastAsia="zh-CN"/>
        </w:rPr>
        <w:t>中共河北省</w:t>
      </w:r>
      <w:r>
        <w:rPr>
          <w:rFonts w:hint="eastAsia"/>
          <w:lang w:eastAsia="zh-CN"/>
        </w:rPr>
        <w:t>大城县</w:t>
      </w:r>
      <w:r>
        <w:rPr>
          <w:rFonts w:hint="eastAsia"/>
          <w:lang w:val="en-US" w:eastAsia="zh-CN"/>
        </w:rPr>
        <w:t>委办公室</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中共河北省</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委办公室</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600.72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中共河北省大城县委办公室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600.72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413.86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456.86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FB80B5"/>
    <w:multiLevelType w:val="singleLevel"/>
    <w:tmpl w:val="E7FB80B5"/>
    <w:lvl w:ilvl="0" w:tentative="0">
      <w:start w:val="1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U0MjE1MmU0MWUzOTNjZjZiOGVlMjZlNmRjZDZjNGM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105D"/>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19166B9"/>
    <w:rsid w:val="13E306DA"/>
    <w:rsid w:val="1C502F39"/>
    <w:rsid w:val="283C723B"/>
    <w:rsid w:val="36053A90"/>
    <w:rsid w:val="3E8B454E"/>
    <w:rsid w:val="3F655022"/>
    <w:rsid w:val="47AD0D2F"/>
    <w:rsid w:val="4BFE3F95"/>
    <w:rsid w:val="4E492895"/>
    <w:rsid w:val="540208BE"/>
    <w:rsid w:val="57E040E2"/>
    <w:rsid w:val="59896B0F"/>
    <w:rsid w:val="5A3904FD"/>
    <w:rsid w:val="5E3E0DA2"/>
    <w:rsid w:val="687D1153"/>
    <w:rsid w:val="691451E2"/>
    <w:rsid w:val="69CE27A1"/>
    <w:rsid w:val="6B1D22BB"/>
    <w:rsid w:val="6B7922C8"/>
    <w:rsid w:val="71E7368C"/>
    <w:rsid w:val="74516CD9"/>
    <w:rsid w:val="77080459"/>
    <w:rsid w:val="7B1F7C51"/>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autoRedefine/>
    <w:semiHidden/>
    <w:unhideWhenUsed/>
    <w:qFormat/>
    <w:uiPriority w:val="99"/>
    <w:rPr>
      <w:sz w:val="18"/>
      <w:szCs w:val="18"/>
    </w:rPr>
  </w:style>
  <w:style w:type="paragraph" w:styleId="3">
    <w:name w:val="footer"/>
    <w:basedOn w:val="1"/>
    <w:link w:val="12"/>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autoRedefine/>
    <w:qFormat/>
    <w:uiPriority w:val="39"/>
    <w:rPr>
      <w:rFonts w:ascii="Times New Roman" w:hAnsi="Times New Roman" w:eastAsia="宋体" w:cs="Times New Roman"/>
      <w:szCs w:val="24"/>
    </w:rPr>
  </w:style>
  <w:style w:type="paragraph" w:styleId="6">
    <w:name w:val="footnote text"/>
    <w:basedOn w:val="1"/>
    <w:link w:val="15"/>
    <w:autoRedefine/>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autoRedefine/>
    <w:qFormat/>
    <w:uiPriority w:val="39"/>
    <w:pPr>
      <w:ind w:left="420" w:leftChars="200"/>
    </w:pPr>
    <w:rPr>
      <w:rFonts w:ascii="Times New Roman" w:hAnsi="Times New Roman" w:eastAsia="宋体" w:cs="Times New Roman"/>
      <w:szCs w:val="24"/>
    </w:rPr>
  </w:style>
  <w:style w:type="character" w:styleId="10">
    <w:name w:val="footnote reference"/>
    <w:autoRedefine/>
    <w:semiHidden/>
    <w:unhideWhenUsed/>
    <w:qFormat/>
    <w:uiPriority w:val="99"/>
    <w:rPr>
      <w:vertAlign w:val="superscript"/>
    </w:rPr>
  </w:style>
  <w:style w:type="character" w:customStyle="1" w:styleId="11">
    <w:name w:val="页眉 Char"/>
    <w:basedOn w:val="9"/>
    <w:link w:val="4"/>
    <w:autoRedefine/>
    <w:qFormat/>
    <w:uiPriority w:val="99"/>
    <w:rPr>
      <w:rFonts w:ascii="Times New Roman" w:hAnsi="Times New Roman" w:eastAsia="宋体" w:cs="Times New Roman"/>
      <w:sz w:val="18"/>
      <w:szCs w:val="18"/>
    </w:rPr>
  </w:style>
  <w:style w:type="character" w:customStyle="1" w:styleId="12">
    <w:name w:val="页脚 Char"/>
    <w:basedOn w:val="9"/>
    <w:link w:val="3"/>
    <w:autoRedefine/>
    <w:qFormat/>
    <w:uiPriority w:val="99"/>
    <w:rPr>
      <w:rFonts w:ascii="Times New Roman" w:hAnsi="Times New Roman" w:eastAsia="宋体" w:cs="Times New Roman"/>
      <w:sz w:val="18"/>
      <w:szCs w:val="18"/>
    </w:rPr>
  </w:style>
  <w:style w:type="character" w:customStyle="1" w:styleId="13">
    <w:name w:val="批注框文本 Char"/>
    <w:basedOn w:val="9"/>
    <w:link w:val="2"/>
    <w:autoRedefine/>
    <w:semiHidden/>
    <w:qFormat/>
    <w:uiPriority w:val="99"/>
    <w:rPr>
      <w:sz w:val="18"/>
      <w:szCs w:val="18"/>
    </w:rPr>
  </w:style>
  <w:style w:type="paragraph" w:customStyle="1" w:styleId="14">
    <w:name w:val="Default"/>
    <w:autoRedefine/>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autoRedefine/>
    <w:semiHidden/>
    <w:qFormat/>
    <w:uiPriority w:val="99"/>
    <w:rPr>
      <w:rFonts w:ascii="Calibri" w:hAnsi="Calibri" w:eastAsia="宋体" w:cs="Times New Roman"/>
      <w:sz w:val="18"/>
      <w:szCs w:val="18"/>
    </w:rPr>
  </w:style>
  <w:style w:type="paragraph" w:customStyle="1" w:styleId="16">
    <w:name w:val="单元格样式1"/>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autoRedefine/>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autoRedefine/>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Normal]"/>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6621</Words>
  <Characters>6789</Characters>
  <Lines>35</Lines>
  <Paragraphs>10</Paragraphs>
  <TotalTime>33</TotalTime>
  <ScaleCrop>false</ScaleCrop>
  <LinksUpToDate>false</LinksUpToDate>
  <CharactersWithSpaces>6924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开心就好</cp:lastModifiedBy>
  <cp:lastPrinted>2023-01-29T01:01:00Z</cp:lastPrinted>
  <dcterms:modified xsi:type="dcterms:W3CDTF">2024-05-20T02:35:34Z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E0DCD2FAFD4C4EC78104898D7A030BBD</vt:lpwstr>
  </property>
</Properties>
</file>