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文化广电和旅游局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 w:hAnsi="仿宋" w:eastAsia="仿宋"/>
          <w:sz w:val="32"/>
          <w:szCs w:val="32"/>
        </w:rPr>
        <w:t>（</w:t>
      </w:r>
      <w:r>
        <w:rPr>
          <w:rFonts w:hint="eastAsia" w:ascii="仿宋_GB2312" w:hAnsi="仿宋_GB2312" w:eastAsia="仿宋_GB2312"/>
          <w:sz w:val="32"/>
          <w:szCs w:val="32"/>
        </w:rPr>
        <w:t>一）贯彻执行党和国家文化广电、旅游和文物工作方针政策和法律法规。研究拟订全县文化广电、旅游和文物政策措施，起草全县文化广电、旅游和文物地方性有关规定和办法。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（二）拟订全县文化事业、旅游产业、广播电视、文物领域发展规划并组织实施，加快文化和旅游融合发展，推进文化广电、旅游和文物体制机制改革。</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（三）管理全县性重大文化活动。指导全县重点文化设施建设，组织廊坊旅游整体形象推广，促进文化和旅游产业对外合作和国际市场推广，制定全县旅游市场开发营销战略并组织实施，指导推进全域旅游。</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（四）指导、管理全县文艺事业。指导艺术创作生产，扶持体现社会主义核心价值观、具有导向性代表性示范性的文艺作品，推动全县各门类艺术、各艺术品种发展。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（五）负责全县公共文化事业发展。推进全县文化、旅游和广播电视公共服务体系建设；深入实施文化惠民工程，统筹推进全县基本公共文化服务标准化、均等化。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（六）指导推进全县文化、旅游行业信息化、标准化建设，推进广播电视科技创新发展。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（七）负责全县非物质文化遗产保护，推动非物质文化遗产的保护、传承、普及、弘扬和振兴。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（八）统筹规划全县文化产业和旅游产业。组织实施文化和旅游资源普查、挖掘、保护和利用工作，促进文化产业和旅游产业发展。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（九）指导全县文化和旅游市场发展。对文化、旅游和广播电视市场经营进行行业监管，推进全县文化、旅游和广播电视行业信用体系建设，依法规范文化、旅游和广播电视市场。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（十二）负责对全县广播电视节目传输覆盖、监听、监看、监测的监管，推进全县应急广播体系建设，监管协调调度全县广播电视安全播出。负责全县广播电视统计工作。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（十三）指导全县文化市场综合执法。组织查处全县性、跨区域文化、文物、广播电视、旅游等市场的违法行为，督查督办大案要案，维护市场秩序。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（十四）指导、管理全县文化、旅游、广播电视</w:t>
      </w:r>
      <w:r>
        <w:rPr>
          <w:rFonts w:hint="eastAsia" w:ascii="仿宋_GB2312" w:hAnsi="仿宋_GB2312" w:eastAsia="仿宋_GB2312"/>
          <w:b/>
          <w:bCs/>
          <w:color w:val="FF0000"/>
          <w:sz w:val="32"/>
          <w:szCs w:val="32"/>
        </w:rPr>
        <w:t>、</w:t>
      </w:r>
      <w:r>
        <w:rPr>
          <w:rFonts w:hint="eastAsia" w:ascii="仿宋_GB2312" w:hAnsi="仿宋_GB2312" w:eastAsia="仿宋_GB2312"/>
          <w:sz w:val="32"/>
          <w:szCs w:val="32"/>
        </w:rPr>
        <w:t>文物领域对外交流、合作和宣传、推广工作。代表县政府签订对外文化和旅游合作协定，组织大型文化和旅游对外及对港澳台交流活动，推动中华文化和廊坊特色文化走出去。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五）负责全县文物资源的调查、勘探、发掘工作；组织、协调全县文物保护和考古项目的实施工作；组织指导文物保护宣传工作；拟订文物保护制度和办法并负责督促检查；协调和指导文物保护工作，履行文物行政执法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w:t>
      </w:r>
      <w:r>
        <w:rPr>
          <w:rFonts w:hint="eastAsia" w:ascii="仿宋_GB2312" w:hAnsi="仿宋_GB2312" w:eastAsia="仿宋_GB2312"/>
          <w:sz w:val="32"/>
          <w:szCs w:val="32"/>
          <w:lang w:val="en-US" w:eastAsia="zh-CN"/>
        </w:rPr>
        <w:t>六</w:t>
      </w:r>
      <w:r>
        <w:rPr>
          <w:rFonts w:hint="eastAsia" w:ascii="仿宋_GB2312" w:hAnsi="仿宋_GB2312" w:eastAsia="仿宋_GB2312"/>
          <w:sz w:val="32"/>
          <w:szCs w:val="32"/>
        </w:rPr>
        <w:t>）完成县委、县政府交办的其他任务。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4443" w:type="dxa"/>
            <w:noWrap w:val="0"/>
            <w:vAlign w:val="center"/>
          </w:tcPr>
          <w:p>
            <w:pPr>
              <w:spacing w:line="300" w:lineRule="exact"/>
              <w:ind w:firstLine="1054" w:firstLineChars="500"/>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大城县文化广电和旅游局</w:t>
            </w:r>
          </w:p>
        </w:tc>
        <w:tc>
          <w:tcPr>
            <w:tcW w:w="1134"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行政</w:t>
            </w:r>
          </w:p>
        </w:tc>
        <w:tc>
          <w:tcPr>
            <w:tcW w:w="1276"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正科级</w:t>
            </w:r>
          </w:p>
        </w:tc>
        <w:tc>
          <w:tcPr>
            <w:tcW w:w="2902"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财政拨款</w:t>
            </w:r>
          </w:p>
        </w:tc>
      </w:tr>
    </w:tbl>
    <w:p>
      <w:pPr>
        <w:spacing w:line="584" w:lineRule="exact"/>
        <w:ind w:firstLine="643" w:firstLineChars="200"/>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1290.09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84.10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957.72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905.13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52.60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416.47</w:t>
      </w:r>
      <w:r>
        <w:rPr>
          <w:rFonts w:ascii="Times New Roman" w:hAnsi="Times New Roman" w:eastAsia="仿宋_GB2312" w:cs="Times New Roman"/>
          <w:sz w:val="32"/>
          <w:szCs w:val="32"/>
        </w:rPr>
        <w:t>万元，主要为</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年中央补助地方美术馆 公共图书馆 文化馆（站）免费开放补助资金、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年中央补助地方公共文化服务体系建设专项资金、</w:t>
      </w:r>
      <w:r>
        <w:rPr>
          <w:rFonts w:hint="eastAsia" w:ascii="仿宋_GB2312" w:hAnsi="仿宋_GB2312" w:eastAsia="仿宋_GB2312" w:cs="仿宋_GB2312"/>
          <w:sz w:val="32"/>
          <w:szCs w:val="32"/>
          <w:lang w:val="en-US" w:eastAsia="zh-CN"/>
        </w:rPr>
        <w:t>2023年劳务派遣人员经费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22.65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207.56</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人员经费支出较去年增加</w:t>
      </w:r>
      <w:r>
        <w:rPr>
          <w:rFonts w:hint="eastAsia" w:ascii="Times New Roman" w:hAnsi="Times New Roman" w:eastAsia="仿宋_GB2312" w:cs="Times New Roman"/>
          <w:sz w:val="32"/>
          <w:szCs w:val="32"/>
          <w:highlight w:val="none"/>
          <w:lang w:val="en-US" w:eastAsia="zh-CN"/>
        </w:rPr>
        <w:t>206</w:t>
      </w:r>
      <w:r>
        <w:rPr>
          <w:rFonts w:ascii="Times New Roman" w:hAnsi="Times New Roman" w:eastAsia="仿宋_GB2312" w:cs="Times New Roman"/>
          <w:sz w:val="32"/>
          <w:szCs w:val="32"/>
        </w:rPr>
        <w:t>万元；项目支出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184.92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县级</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52.60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12.00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highlight w:val="none"/>
        </w:rPr>
        <w:t>公务用车购置及运维费</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年相比持平，无增减变化</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0.03</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numPr>
          <w:ilvl w:val="0"/>
          <w:numId w:val="0"/>
        </w:numPr>
        <w:ind w:firstLine="640" w:firstLineChars="200"/>
      </w:pPr>
      <w:r>
        <w:rPr>
          <w:rFonts w:hint="eastAsia" w:ascii="仿宋" w:hAnsi="仿宋" w:eastAsia="仿宋" w:cs="仿宋"/>
          <w:b w:val="0"/>
          <w:bCs w:val="0"/>
          <w:sz w:val="32"/>
          <w:szCs w:val="32"/>
        </w:rPr>
        <w:t>全面落实基本公共文化服务标准化建设。</w:t>
      </w:r>
      <w:r>
        <w:rPr>
          <w:rFonts w:hint="eastAsia" w:ascii="仿宋" w:hAnsi="仿宋" w:eastAsia="仿宋" w:cs="仿宋"/>
          <w:b w:val="0"/>
          <w:bCs w:val="0"/>
          <w:sz w:val="32"/>
          <w:szCs w:val="32"/>
          <w:lang w:eastAsia="zh-CN"/>
        </w:rPr>
        <w:t>提升县文化馆、图书馆建设标准，继续巩固提升</w:t>
      </w:r>
      <w:r>
        <w:rPr>
          <w:rFonts w:hint="eastAsia" w:ascii="仿宋" w:hAnsi="仿宋" w:eastAsia="仿宋" w:cs="仿宋"/>
          <w:b w:val="0"/>
          <w:bCs w:val="0"/>
          <w:sz w:val="32"/>
          <w:szCs w:val="32"/>
          <w:lang w:val="en-US" w:eastAsia="zh-CN"/>
        </w:rPr>
        <w:t>20个重点</w:t>
      </w:r>
      <w:r>
        <w:rPr>
          <w:rFonts w:hint="eastAsia" w:ascii="仿宋" w:hAnsi="仿宋" w:eastAsia="仿宋" w:cs="仿宋"/>
          <w:b w:val="0"/>
          <w:bCs w:val="0"/>
          <w:sz w:val="32"/>
          <w:szCs w:val="32"/>
          <w:lang w:eastAsia="zh-CN"/>
        </w:rPr>
        <w:t>基层综合文化服务中心</w:t>
      </w:r>
      <w:r>
        <w:rPr>
          <w:rFonts w:hint="eastAsia" w:ascii="仿宋" w:hAnsi="仿宋" w:eastAsia="仿宋" w:cs="仿宋"/>
          <w:b w:val="0"/>
          <w:bCs w:val="0"/>
          <w:sz w:val="32"/>
          <w:szCs w:val="32"/>
        </w:rPr>
        <w:t>，推动公共文化服务体系各项工作科学化、规范化、制度化、常态化开展</w:t>
      </w:r>
      <w:r>
        <w:rPr>
          <w:rFonts w:hint="eastAsia" w:ascii="仿宋" w:hAnsi="仿宋" w:eastAsia="仿宋" w:cs="仿宋"/>
          <w:b w:val="0"/>
          <w:bCs w:val="0"/>
          <w:sz w:val="32"/>
          <w:szCs w:val="32"/>
          <w:lang w:eastAsia="zh-CN"/>
        </w:rPr>
        <w:t>；继续开展</w:t>
      </w:r>
      <w:r>
        <w:rPr>
          <w:rFonts w:hint="eastAsia" w:ascii="仿宋" w:hAnsi="仿宋" w:eastAsia="仿宋" w:cs="仿宋"/>
          <w:b w:val="0"/>
          <w:bCs w:val="0"/>
          <w:sz w:val="32"/>
          <w:szCs w:val="32"/>
        </w:rPr>
        <w:t>县文化馆、图书馆、美术馆、</w:t>
      </w:r>
      <w:r>
        <w:rPr>
          <w:rFonts w:hint="eastAsia" w:ascii="仿宋" w:hAnsi="仿宋" w:eastAsia="仿宋" w:cs="仿宋"/>
          <w:b w:val="0"/>
          <w:bCs w:val="0"/>
          <w:sz w:val="32"/>
          <w:szCs w:val="32"/>
          <w:lang w:eastAsia="zh-CN"/>
        </w:rPr>
        <w:t>基层综合性文化服务中心</w:t>
      </w:r>
      <w:r>
        <w:rPr>
          <w:rFonts w:hint="eastAsia" w:ascii="仿宋" w:hAnsi="仿宋" w:eastAsia="仿宋" w:cs="仿宋"/>
          <w:b w:val="0"/>
          <w:bCs w:val="0"/>
          <w:sz w:val="32"/>
          <w:szCs w:val="32"/>
        </w:rPr>
        <w:t>设施对外免费开放</w:t>
      </w:r>
      <w:r>
        <w:rPr>
          <w:rFonts w:hint="eastAsia" w:ascii="仿宋" w:hAnsi="仿宋" w:eastAsia="仿宋" w:cs="仿宋"/>
          <w:b w:val="0"/>
          <w:bCs w:val="0"/>
          <w:sz w:val="32"/>
          <w:szCs w:val="32"/>
          <w:lang w:eastAsia="zh-CN"/>
        </w:rPr>
        <w:t>工作</w:t>
      </w:r>
      <w:r>
        <w:rPr>
          <w:rFonts w:hint="eastAsia" w:ascii="仿宋" w:hAnsi="仿宋" w:eastAsia="仿宋" w:cs="仿宋"/>
          <w:b w:val="0"/>
          <w:bCs w:val="0"/>
          <w:sz w:val="32"/>
          <w:szCs w:val="32"/>
        </w:rPr>
        <w:t>。做好疫情过后公共文化服务场所的免费对外开放工作，确保安全有序开展。</w:t>
      </w:r>
      <w:r>
        <w:rPr>
          <w:rFonts w:hint="eastAsia" w:ascii="仿宋" w:hAnsi="仿宋" w:eastAsia="仿宋" w:cs="仿宋"/>
          <w:b w:val="0"/>
          <w:bCs w:val="0"/>
          <w:sz w:val="32"/>
          <w:szCs w:val="32"/>
          <w:lang w:eastAsia="zh-CN"/>
        </w:rPr>
        <w:t>通过服务效能的开展，进一步</w:t>
      </w:r>
      <w:r>
        <w:rPr>
          <w:rFonts w:hint="eastAsia" w:ascii="仿宋" w:hAnsi="仿宋" w:eastAsia="仿宋" w:cs="仿宋"/>
          <w:b w:val="0"/>
          <w:bCs w:val="0"/>
          <w:sz w:val="32"/>
          <w:szCs w:val="32"/>
        </w:rPr>
        <w:t>丰富群众文化生活，使</w:t>
      </w:r>
      <w:r>
        <w:rPr>
          <w:rFonts w:hint="eastAsia" w:ascii="仿宋" w:hAnsi="仿宋" w:eastAsia="仿宋" w:cs="仿宋"/>
          <w:b w:val="0"/>
          <w:bCs w:val="0"/>
          <w:sz w:val="32"/>
          <w:szCs w:val="32"/>
          <w:lang w:eastAsia="zh-CN"/>
        </w:rPr>
        <w:t>全</w:t>
      </w:r>
      <w:r>
        <w:rPr>
          <w:rFonts w:hint="eastAsia" w:ascii="仿宋" w:hAnsi="仿宋" w:eastAsia="仿宋" w:cs="仿宋"/>
          <w:b w:val="0"/>
          <w:bCs w:val="0"/>
          <w:sz w:val="32"/>
          <w:szCs w:val="32"/>
        </w:rPr>
        <w:t>县综合文化站服务效能得到</w:t>
      </w:r>
      <w:r>
        <w:rPr>
          <w:rFonts w:hint="eastAsia" w:ascii="仿宋" w:hAnsi="仿宋" w:eastAsia="仿宋" w:cs="仿宋"/>
          <w:b w:val="0"/>
          <w:bCs w:val="0"/>
          <w:sz w:val="32"/>
          <w:szCs w:val="32"/>
          <w:lang w:eastAsia="zh-CN"/>
        </w:rPr>
        <w:t>更高的</w:t>
      </w:r>
      <w:r>
        <w:rPr>
          <w:rFonts w:hint="eastAsia" w:ascii="仿宋" w:hAnsi="仿宋" w:eastAsia="仿宋" w:cs="仿宋"/>
          <w:b w:val="0"/>
          <w:bCs w:val="0"/>
          <w:sz w:val="32"/>
          <w:szCs w:val="32"/>
        </w:rPr>
        <w:t>提升。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3"/>
        <w:spacing w:before="15" w:beforeLines="0" w:line="233" w:lineRule="auto"/>
        <w:ind w:right="270" w:firstLine="643" w:firstLineChars="200"/>
        <w:jc w:val="both"/>
        <w:rPr>
          <w:rFonts w:hint="eastAsia" w:ascii="仿宋" w:hAnsi="仿宋" w:eastAsia="仿宋"/>
          <w:b/>
          <w:spacing w:val="-12"/>
        </w:rPr>
      </w:pPr>
      <w:r>
        <w:rPr>
          <w:rFonts w:hint="eastAsia" w:ascii="仿宋" w:hAnsi="仿宋" w:eastAsia="仿宋"/>
          <w:b/>
          <w:lang w:val="en-US" w:eastAsia="zh-CN"/>
        </w:rPr>
        <w:t>1、</w:t>
      </w:r>
      <w:r>
        <w:rPr>
          <w:rFonts w:hint="eastAsia" w:ascii="仿宋" w:hAnsi="仿宋" w:eastAsia="仿宋"/>
          <w:b/>
          <w:spacing w:val="-12"/>
        </w:rPr>
        <w:t>管理和指导全县文化建设，推进文化发展</w:t>
      </w:r>
    </w:p>
    <w:p>
      <w:pPr>
        <w:pStyle w:val="3"/>
        <w:spacing w:before="15" w:beforeLines="0" w:line="233" w:lineRule="auto"/>
        <w:ind w:right="270" w:firstLine="743" w:firstLineChars="250"/>
        <w:jc w:val="both"/>
        <w:rPr>
          <w:rFonts w:hint="eastAsia" w:ascii="仿宋" w:hAnsi="仿宋" w:eastAsia="仿宋"/>
          <w:spacing w:val="-12"/>
        </w:rPr>
      </w:pPr>
      <w:r>
        <w:rPr>
          <w:rFonts w:hint="eastAsia" w:ascii="仿宋" w:hAnsi="仿宋" w:eastAsia="仿宋"/>
          <w:b/>
          <w:spacing w:val="-12"/>
        </w:rPr>
        <w:t>绩效目标：</w:t>
      </w:r>
      <w:r>
        <w:rPr>
          <w:rFonts w:hint="eastAsia" w:ascii="仿宋" w:hAnsi="仿宋" w:eastAsia="仿宋"/>
          <w:spacing w:val="-12"/>
        </w:rPr>
        <w:t>公共文化设施达标，机构和队伍健全，实现公共文化资源共享，形成城乡一体公共文化服务网络；公共文化产品生产和服务能力提高，基本公共文化服务标准化、均等化水平不断提高</w:t>
      </w:r>
    </w:p>
    <w:p>
      <w:pPr>
        <w:pStyle w:val="3"/>
        <w:spacing w:before="15" w:beforeLines="0" w:line="233" w:lineRule="auto"/>
        <w:ind w:right="270" w:firstLine="743" w:firstLineChars="250"/>
        <w:jc w:val="both"/>
        <w:rPr>
          <w:rFonts w:ascii="仿宋" w:hAnsi="仿宋" w:eastAsia="仿宋"/>
        </w:rPr>
      </w:pPr>
      <w:r>
        <w:rPr>
          <w:rFonts w:hint="eastAsia" w:ascii="仿宋" w:hAnsi="仿宋" w:eastAsia="仿宋"/>
          <w:b/>
          <w:spacing w:val="-12"/>
        </w:rPr>
        <w:t>绩效指标：</w:t>
      </w:r>
      <w:r>
        <w:rPr>
          <w:rFonts w:hint="eastAsia" w:ascii="仿宋" w:hAnsi="仿宋" w:eastAsia="仿宋"/>
          <w:spacing w:val="-12"/>
        </w:rPr>
        <w:t>公共文化服务活动数量（场次）；送公益流动文化服务进基层完成率；公共文化场馆免费率</w:t>
      </w:r>
    </w:p>
    <w:p>
      <w:pPr>
        <w:spacing w:line="580" w:lineRule="exact"/>
        <w:ind w:left="760"/>
        <w:rPr>
          <w:rFonts w:hint="eastAsia" w:ascii="仿宋" w:hAnsi="仿宋" w:eastAsia="仿宋"/>
          <w:b/>
          <w:sz w:val="32"/>
        </w:rPr>
      </w:pPr>
      <w:r>
        <w:rPr>
          <w:rFonts w:hint="eastAsia" w:ascii="仿宋" w:hAnsi="仿宋" w:eastAsia="仿宋"/>
          <w:b/>
          <w:sz w:val="32"/>
          <w:lang w:val="en-US" w:eastAsia="zh-CN"/>
        </w:rPr>
        <w:t>2、</w:t>
      </w:r>
      <w:r>
        <w:rPr>
          <w:rFonts w:hint="eastAsia" w:ascii="仿宋" w:hAnsi="仿宋" w:eastAsia="仿宋"/>
          <w:b/>
          <w:sz w:val="32"/>
        </w:rPr>
        <w:t>组织全县文化交流活动</w:t>
      </w:r>
    </w:p>
    <w:p>
      <w:pPr>
        <w:spacing w:line="580" w:lineRule="exact"/>
        <w:ind w:firstLine="740" w:firstLineChars="249"/>
        <w:rPr>
          <w:rFonts w:hint="eastAsia" w:ascii="仿宋" w:hAnsi="仿宋" w:eastAsia="仿宋"/>
          <w:spacing w:val="-12"/>
          <w:sz w:val="32"/>
          <w:szCs w:val="32"/>
        </w:rPr>
      </w:pPr>
      <w:r>
        <w:rPr>
          <w:rFonts w:hint="eastAsia" w:ascii="仿宋" w:hAnsi="仿宋" w:eastAsia="仿宋"/>
          <w:b/>
          <w:spacing w:val="-12"/>
          <w:sz w:val="32"/>
          <w:szCs w:val="32"/>
        </w:rPr>
        <w:t xml:space="preserve"> 绩效目标</w:t>
      </w:r>
      <w:r>
        <w:rPr>
          <w:rFonts w:hint="eastAsia"/>
          <w:b/>
          <w:spacing w:val="-12"/>
          <w:sz w:val="32"/>
          <w:szCs w:val="32"/>
        </w:rPr>
        <w:t>：</w:t>
      </w:r>
      <w:r>
        <w:rPr>
          <w:rFonts w:hint="eastAsia" w:ascii="仿宋" w:hAnsi="仿宋" w:eastAsia="仿宋"/>
          <w:spacing w:val="-12"/>
          <w:sz w:val="32"/>
          <w:szCs w:val="32"/>
        </w:rPr>
        <w:t>全方位宣传推介我县文化艺术资源，提升交流水平和档次。</w:t>
      </w:r>
    </w:p>
    <w:p>
      <w:pPr>
        <w:spacing w:line="580" w:lineRule="exact"/>
        <w:ind w:left="760"/>
        <w:rPr>
          <w:rFonts w:ascii="仿宋" w:hAnsi="仿宋" w:eastAsia="仿宋"/>
          <w:sz w:val="32"/>
          <w:szCs w:val="32"/>
        </w:rPr>
      </w:pPr>
      <w:r>
        <w:rPr>
          <w:rFonts w:hint="eastAsia" w:ascii="仿宋" w:hAnsi="仿宋" w:eastAsia="仿宋"/>
          <w:b/>
          <w:sz w:val="32"/>
          <w:szCs w:val="32"/>
        </w:rPr>
        <w:t>绩效指标</w:t>
      </w:r>
      <w:r>
        <w:rPr>
          <w:rFonts w:hint="eastAsia"/>
          <w:b/>
          <w:sz w:val="32"/>
          <w:szCs w:val="32"/>
        </w:rPr>
        <w:t>：</w:t>
      </w:r>
      <w:r>
        <w:rPr>
          <w:rFonts w:hint="eastAsia" w:ascii="仿宋" w:hAnsi="仿宋" w:eastAsia="仿宋"/>
          <w:sz w:val="32"/>
          <w:szCs w:val="32"/>
        </w:rPr>
        <w:t>文化交流次数</w:t>
      </w:r>
    </w:p>
    <w:p>
      <w:pPr>
        <w:spacing w:line="580" w:lineRule="exact"/>
        <w:ind w:firstLine="643" w:firstLineChars="200"/>
        <w:rPr>
          <w:rFonts w:hint="eastAsia" w:ascii="仿宋" w:hAnsi="仿宋" w:eastAsia="仿宋"/>
          <w:b/>
          <w:sz w:val="32"/>
        </w:rPr>
      </w:pPr>
      <w:r>
        <w:rPr>
          <w:rFonts w:hint="eastAsia" w:ascii="仿宋" w:hAnsi="仿宋" w:eastAsia="仿宋"/>
          <w:b/>
          <w:sz w:val="32"/>
          <w:lang w:val="en-US" w:eastAsia="zh-CN"/>
        </w:rPr>
        <w:t>3、</w:t>
      </w:r>
      <w:r>
        <w:rPr>
          <w:rFonts w:hint="eastAsia" w:ascii="仿宋" w:hAnsi="仿宋" w:eastAsia="仿宋"/>
          <w:b/>
          <w:sz w:val="32"/>
        </w:rPr>
        <w:t>指导、组织开展文化保护工作</w:t>
      </w:r>
      <w:r>
        <w:rPr>
          <w:rFonts w:ascii="仿宋" w:hAnsi="仿宋" w:eastAsia="仿宋"/>
          <w:b/>
          <w:sz w:val="32"/>
        </w:rPr>
        <w:t>;组织实施优秀民族文化的传承普及工作</w:t>
      </w:r>
    </w:p>
    <w:p>
      <w:pPr>
        <w:spacing w:line="580" w:lineRule="exact"/>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珍贵、濒危的非物质文化遗产得到有效抢救和保护，优秀特色文化得到传承和发扬。</w:t>
      </w:r>
    </w:p>
    <w:p>
      <w:pPr>
        <w:spacing w:line="580"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濒危和重点项目有效保护覆盖率；展示和传承优秀项目占比数</w:t>
      </w:r>
    </w:p>
    <w:p>
      <w:pPr>
        <w:spacing w:line="580" w:lineRule="exact"/>
        <w:ind w:firstLine="482" w:firstLineChars="150"/>
        <w:rPr>
          <w:rFonts w:hint="eastAsia"/>
          <w:b/>
          <w:sz w:val="32"/>
        </w:rPr>
      </w:pPr>
      <w:r>
        <w:rPr>
          <w:rFonts w:hint="eastAsia" w:ascii="仿宋" w:hAnsi="仿宋" w:eastAsia="仿宋"/>
          <w:b/>
          <w:sz w:val="32"/>
          <w:lang w:val="en-US" w:eastAsia="zh-CN"/>
        </w:rPr>
        <w:t xml:space="preserve"> 4、</w:t>
      </w:r>
      <w:r>
        <w:rPr>
          <w:rFonts w:hint="eastAsia" w:ascii="仿宋" w:hAnsi="仿宋" w:eastAsia="仿宋"/>
          <w:b/>
          <w:sz w:val="32"/>
        </w:rPr>
        <w:t>加强文物保护，促进文物事业可持续发展</w:t>
      </w:r>
      <w:r>
        <w:rPr>
          <w:rFonts w:hint="eastAsia"/>
          <w:b/>
          <w:sz w:val="32"/>
        </w:rPr>
        <w:t>。</w:t>
      </w:r>
    </w:p>
    <w:p>
      <w:pPr>
        <w:spacing w:line="580" w:lineRule="exact"/>
        <w:ind w:firstLine="643" w:firstLineChars="200"/>
        <w:rPr>
          <w:rFonts w:hint="eastAsia" w:ascii="仿宋" w:hAnsi="仿宋" w:eastAsia="仿宋"/>
          <w:b/>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确保文物与文化遗产得到有效保护</w:t>
      </w:r>
    </w:p>
    <w:p>
      <w:pPr>
        <w:spacing w:line="580"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工程质量；完工及时率</w:t>
      </w:r>
    </w:p>
    <w:p>
      <w:pPr>
        <w:spacing w:before="115" w:beforeLines="0"/>
        <w:ind w:firstLine="643" w:firstLineChars="200"/>
        <w:rPr>
          <w:rFonts w:ascii="仿宋" w:hAnsi="仿宋" w:eastAsia="仿宋"/>
          <w:b/>
          <w:sz w:val="32"/>
        </w:rPr>
      </w:pPr>
      <w:r>
        <w:rPr>
          <w:rFonts w:hint="eastAsia" w:ascii="仿宋" w:hAnsi="仿宋" w:eastAsia="仿宋"/>
          <w:b/>
          <w:sz w:val="32"/>
          <w:lang w:val="en-US" w:eastAsia="zh-CN"/>
        </w:rPr>
        <w:t>5、</w:t>
      </w:r>
      <w:r>
        <w:rPr>
          <w:rFonts w:hint="eastAsia" w:ascii="仿宋" w:hAnsi="仿宋" w:eastAsia="仿宋"/>
          <w:b/>
          <w:sz w:val="32"/>
        </w:rPr>
        <w:t>旅游市场开发推广及交流合作</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通过旅游市场开发推广及交流合作，有效提高县旅游的知名度、美誉度和影响力，吸引更多游客来我县旅游，从而促进我县旅游经济又好又快发展。</w:t>
      </w:r>
    </w:p>
    <w:p>
      <w:pPr>
        <w:ind w:firstLine="643" w:firstLineChars="200"/>
        <w:rPr>
          <w:rFonts w:hint="eastAsia"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游客增长率和旅游收入增长率</w:t>
      </w:r>
    </w:p>
    <w:p>
      <w:pPr>
        <w:ind w:firstLine="643" w:firstLineChars="200"/>
        <w:rPr>
          <w:rFonts w:hint="eastAsia" w:ascii="仿宋" w:hAnsi="仿宋" w:eastAsia="仿宋"/>
          <w:b/>
          <w:sz w:val="32"/>
        </w:rPr>
      </w:pPr>
      <w:r>
        <w:rPr>
          <w:rFonts w:hint="eastAsia" w:ascii="仿宋" w:hAnsi="仿宋" w:eastAsia="仿宋"/>
          <w:b/>
          <w:sz w:val="32"/>
          <w:lang w:val="en-US" w:eastAsia="zh-CN"/>
        </w:rPr>
        <w:t>6、</w:t>
      </w:r>
      <w:r>
        <w:rPr>
          <w:rFonts w:hint="eastAsia" w:ascii="仿宋" w:hAnsi="仿宋" w:eastAsia="仿宋"/>
          <w:b/>
          <w:sz w:val="32"/>
        </w:rPr>
        <w:t>旅游宣传及信息化建设</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项目实施有效提升县旅游的知名度、吸引力，扩大县旅游品牌形象的影响力，吸引更多游客来县旅游观光。</w:t>
      </w:r>
    </w:p>
    <w:p>
      <w:pPr>
        <w:ind w:firstLine="643" w:firstLineChars="200"/>
        <w:rPr>
          <w:rFonts w:hint="eastAsia" w:ascii="仿宋" w:hAnsi="仿宋" w:eastAsia="仿宋"/>
          <w:sz w:val="32"/>
        </w:rPr>
      </w:pPr>
      <w:r>
        <w:rPr>
          <w:rFonts w:hint="eastAsia" w:ascii="仿宋" w:hAnsi="仿宋" w:eastAsia="仿宋"/>
          <w:b/>
          <w:sz w:val="32"/>
        </w:rPr>
        <w:t>绩效指标：</w:t>
      </w:r>
      <w:r>
        <w:rPr>
          <w:rFonts w:hint="eastAsia" w:ascii="仿宋" w:hAnsi="仿宋" w:eastAsia="仿宋"/>
          <w:sz w:val="32"/>
        </w:rPr>
        <w:t>游客增长率和旅游收入增长率；旅游信息服务满意度</w:t>
      </w:r>
    </w:p>
    <w:p>
      <w:pPr>
        <w:ind w:firstLine="643" w:firstLineChars="200"/>
        <w:rPr>
          <w:rFonts w:hint="eastAsia" w:ascii="仿宋" w:hAnsi="仿宋" w:eastAsia="仿宋"/>
          <w:b/>
          <w:sz w:val="32"/>
        </w:rPr>
      </w:pPr>
      <w:r>
        <w:rPr>
          <w:rFonts w:hint="eastAsia" w:ascii="仿宋" w:hAnsi="仿宋" w:eastAsia="仿宋"/>
          <w:b/>
          <w:sz w:val="32"/>
          <w:lang w:val="en-US" w:eastAsia="zh-CN"/>
        </w:rPr>
        <w:t>7、</w:t>
      </w:r>
      <w:r>
        <w:rPr>
          <w:rFonts w:hint="eastAsia" w:ascii="仿宋" w:hAnsi="仿宋" w:eastAsia="仿宋"/>
          <w:b/>
          <w:sz w:val="32"/>
        </w:rPr>
        <w:t>旅游规划及重点项目建设</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引导撬动更多社会资金投资旅游产业，推动旅游与相关产业融合发展，为打造县旅游升级版提供项目支撑，创建具有较强知名度、美誉度和影响力的县旅游目的地体系。</w:t>
      </w:r>
    </w:p>
    <w:p>
      <w:pPr>
        <w:spacing w:line="584"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旅游引资额、</w:t>
      </w:r>
      <w:r>
        <w:rPr>
          <w:rFonts w:ascii="仿宋" w:hAnsi="仿宋" w:eastAsia="仿宋"/>
          <w:sz w:val="32"/>
        </w:rPr>
        <w:t>A级景区游客增长率、重大违规项目资金比</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3"/>
        <w:spacing w:before="4" w:beforeLines="0" w:line="233" w:lineRule="auto"/>
        <w:ind w:right="213" w:firstLine="611" w:firstLineChars="200"/>
        <w:jc w:val="both"/>
        <w:rPr>
          <w:rFonts w:ascii="仿宋" w:hAnsi="仿宋" w:eastAsia="仿宋"/>
        </w:rPr>
      </w:pPr>
      <w:r>
        <w:rPr>
          <w:rFonts w:hint="eastAsia" w:ascii="仿宋" w:hAnsi="仿宋" w:eastAsia="仿宋"/>
          <w:b/>
          <w:w w:val="95"/>
          <w:lang w:val="en-US" w:eastAsia="zh-CN"/>
        </w:rPr>
        <w:t>1、</w:t>
      </w:r>
      <w:r>
        <w:rPr>
          <w:rFonts w:hint="eastAsia" w:ascii="仿宋" w:hAnsi="仿宋" w:eastAsia="仿宋"/>
          <w:b/>
          <w:w w:val="95"/>
          <w:lang w:val="en-US"/>
        </w:rPr>
        <w:t xml:space="preserve"> </w:t>
      </w:r>
      <w:r>
        <w:rPr>
          <w:rFonts w:ascii="仿宋" w:hAnsi="仿宋" w:eastAsia="仿宋"/>
          <w:b/>
          <w:w w:val="95"/>
        </w:rPr>
        <w:t>完善</w:t>
      </w:r>
      <w:r>
        <w:rPr>
          <w:rFonts w:ascii="仿宋" w:hAnsi="仿宋" w:eastAsia="仿宋"/>
          <w:b/>
          <w:spacing w:val="-7"/>
          <w:w w:val="95"/>
        </w:rPr>
        <w:t>制度建设。</w:t>
      </w:r>
      <w:r>
        <w:rPr>
          <w:rFonts w:hint="eastAsia" w:ascii="仿宋" w:hAnsi="仿宋" w:eastAsia="仿宋"/>
          <w:spacing w:val="-7"/>
          <w:w w:val="95"/>
        </w:rPr>
        <w:t>单位制定了机关管理制度、专项资金管理办法。</w:t>
      </w:r>
    </w:p>
    <w:p>
      <w:pPr>
        <w:pStyle w:val="3"/>
        <w:spacing w:before="3" w:beforeLines="0" w:line="233" w:lineRule="auto"/>
        <w:ind w:right="271"/>
        <w:jc w:val="both"/>
        <w:rPr>
          <w:rFonts w:ascii="仿宋" w:hAnsi="仿宋" w:eastAsia="仿宋"/>
        </w:rPr>
      </w:pPr>
      <w:r>
        <w:rPr>
          <w:rFonts w:hint="eastAsia" w:ascii="仿宋" w:hAnsi="仿宋" w:eastAsia="仿宋"/>
          <w:b/>
          <w:spacing w:val="-4"/>
          <w:lang w:val="en-US"/>
        </w:rPr>
        <w:t xml:space="preserve">    </w:t>
      </w:r>
      <w:r>
        <w:rPr>
          <w:rFonts w:hint="eastAsia" w:ascii="仿宋" w:hAnsi="仿宋" w:eastAsia="仿宋"/>
          <w:b/>
          <w:spacing w:val="-4"/>
          <w:lang w:val="en-US" w:eastAsia="zh-CN"/>
        </w:rPr>
        <w:t>2、</w:t>
      </w:r>
      <w:r>
        <w:rPr>
          <w:rFonts w:ascii="仿宋" w:hAnsi="仿宋" w:eastAsia="仿宋"/>
          <w:b/>
          <w:spacing w:val="-4"/>
        </w:rPr>
        <w:t>加强支出管理。</w:t>
      </w:r>
      <w:r>
        <w:rPr>
          <w:rFonts w:ascii="仿宋" w:hAnsi="仿宋" w:eastAsia="仿宋"/>
          <w:spacing w:val="-3"/>
        </w:rPr>
        <w:t>编细编实预算</w:t>
      </w:r>
      <w:r>
        <w:rPr>
          <w:rFonts w:hint="eastAsia" w:ascii="仿宋" w:hAnsi="仿宋" w:eastAsia="仿宋"/>
          <w:spacing w:val="-3"/>
        </w:rPr>
        <w:t>；单位成立政府采购小组专门负责政府采购事项；财务室及时做用款计划，保障</w:t>
      </w:r>
      <w:r>
        <w:rPr>
          <w:rFonts w:ascii="仿宋" w:hAnsi="仿宋" w:eastAsia="仿宋"/>
          <w:spacing w:val="-3"/>
        </w:rPr>
        <w:t>支付资金及时、</w:t>
      </w:r>
      <w:r>
        <w:rPr>
          <w:rFonts w:ascii="仿宋" w:hAnsi="仿宋" w:eastAsia="仿宋"/>
          <w:spacing w:val="-8"/>
        </w:rPr>
        <w:t>确保支出进度达标</w:t>
      </w:r>
      <w:r>
        <w:rPr>
          <w:rFonts w:hint="eastAsia" w:ascii="仿宋" w:hAnsi="仿宋" w:eastAsia="仿宋"/>
          <w:spacing w:val="-8"/>
        </w:rPr>
        <w:t>。</w:t>
      </w:r>
    </w:p>
    <w:p>
      <w:pPr>
        <w:pStyle w:val="3"/>
        <w:spacing w:before="9" w:beforeLines="0" w:line="233" w:lineRule="auto"/>
        <w:ind w:right="212"/>
        <w:rPr>
          <w:rFonts w:ascii="仿宋" w:hAnsi="仿宋" w:eastAsia="仿宋"/>
        </w:rPr>
      </w:pPr>
      <w:r>
        <w:rPr>
          <w:rFonts w:hint="eastAsia" w:ascii="仿宋" w:hAnsi="仿宋" w:eastAsia="仿宋"/>
          <w:b/>
          <w:lang w:val="en-US"/>
        </w:rPr>
        <w:t xml:space="preserve">    </w:t>
      </w:r>
      <w:r>
        <w:rPr>
          <w:rFonts w:hint="eastAsia" w:ascii="仿宋" w:hAnsi="仿宋" w:eastAsia="仿宋"/>
          <w:b/>
          <w:lang w:val="en-US" w:eastAsia="zh-CN"/>
        </w:rPr>
        <w:t>3、</w:t>
      </w:r>
      <w:r>
        <w:rPr>
          <w:rFonts w:hint="eastAsia" w:ascii="仿宋" w:hAnsi="仿宋" w:eastAsia="仿宋"/>
          <w:b/>
          <w:lang w:val="en-US"/>
        </w:rPr>
        <w:t xml:space="preserve"> </w:t>
      </w:r>
      <w:r>
        <w:rPr>
          <w:rFonts w:ascii="仿宋" w:hAnsi="仿宋" w:eastAsia="仿宋"/>
          <w:b/>
        </w:rPr>
        <w:t>加强绩效运行监控。</w:t>
      </w:r>
      <w:r>
        <w:rPr>
          <w:rFonts w:ascii="仿宋" w:hAnsi="仿宋" w:eastAsia="仿宋"/>
        </w:rPr>
        <w:t>按要求开展绩效运行监控，发现问题及时采取措施，确保绩效目标如期保质实现。</w:t>
      </w:r>
    </w:p>
    <w:p>
      <w:pPr>
        <w:pStyle w:val="3"/>
        <w:spacing w:before="3" w:beforeLines="0" w:line="233" w:lineRule="auto"/>
        <w:ind w:right="114"/>
        <w:rPr>
          <w:rFonts w:ascii="仿宋" w:hAnsi="仿宋" w:eastAsia="仿宋"/>
        </w:rPr>
      </w:pPr>
      <w:r>
        <w:rPr>
          <w:rFonts w:hint="eastAsia" w:ascii="仿宋" w:hAnsi="仿宋" w:eastAsia="仿宋"/>
          <w:b/>
          <w:spacing w:val="-7"/>
          <w:lang w:val="en-US"/>
        </w:rPr>
        <w:t xml:space="preserve">    </w:t>
      </w:r>
      <w:r>
        <w:rPr>
          <w:rFonts w:hint="eastAsia" w:ascii="仿宋" w:hAnsi="仿宋" w:eastAsia="仿宋"/>
          <w:b/>
          <w:spacing w:val="-7"/>
          <w:lang w:val="en-US" w:eastAsia="zh-CN"/>
        </w:rPr>
        <w:t>4、</w:t>
      </w:r>
      <w:r>
        <w:rPr>
          <w:rFonts w:ascii="仿宋" w:hAnsi="仿宋" w:eastAsia="仿宋"/>
          <w:b/>
          <w:spacing w:val="-7"/>
        </w:rPr>
        <w:t>做好绩效自评。</w:t>
      </w:r>
      <w:r>
        <w:rPr>
          <w:rFonts w:hint="eastAsia" w:ascii="仿宋" w:hAnsi="仿宋" w:eastAsia="仿宋"/>
        </w:rPr>
        <w:t>我局成立了项目绩效评估小组，</w:t>
      </w:r>
      <w:r>
        <w:rPr>
          <w:rFonts w:ascii="仿宋" w:hAnsi="仿宋" w:eastAsia="仿宋"/>
        </w:rPr>
        <w:t>开展上年度部门预算绩效自评和重</w:t>
      </w:r>
      <w:r>
        <w:rPr>
          <w:rFonts w:ascii="仿宋" w:hAnsi="仿宋" w:eastAsia="仿宋"/>
          <w:spacing w:val="-16"/>
        </w:rPr>
        <w:t>点评价工作，对评价中发现的问题及时整改，提高财政资金使用效益。</w:t>
      </w:r>
    </w:p>
    <w:p>
      <w:pPr>
        <w:overflowPunct w:val="0"/>
        <w:adjustRightInd w:val="0"/>
        <w:snapToGrid w:val="0"/>
        <w:spacing w:after="156" w:afterLines="50" w:line="580" w:lineRule="exact"/>
        <w:ind w:firstLine="630" w:firstLineChars="196"/>
        <w:jc w:val="left"/>
        <w:rPr>
          <w:rFonts w:hint="eastAsia" w:ascii="仿宋" w:hAnsi="仿宋" w:eastAsia="仿宋"/>
          <w:sz w:val="32"/>
        </w:rPr>
      </w:pPr>
      <w:r>
        <w:rPr>
          <w:rFonts w:hint="eastAsia" w:ascii="仿宋" w:hAnsi="仿宋" w:eastAsia="仿宋"/>
          <w:b/>
          <w:sz w:val="32"/>
          <w:lang w:val="en-US" w:eastAsia="zh-CN"/>
        </w:rPr>
        <w:t>5、</w:t>
      </w:r>
      <w:r>
        <w:rPr>
          <w:rFonts w:hint="eastAsia" w:ascii="仿宋" w:hAnsi="仿宋" w:eastAsia="仿宋"/>
          <w:b/>
          <w:sz w:val="32"/>
        </w:rPr>
        <w:t xml:space="preserve"> </w:t>
      </w:r>
      <w:r>
        <w:rPr>
          <w:rFonts w:ascii="仿宋" w:hAnsi="仿宋" w:eastAsia="仿宋"/>
          <w:b/>
          <w:sz w:val="32"/>
        </w:rPr>
        <w:t>规范财务资产管理。</w:t>
      </w:r>
      <w:r>
        <w:rPr>
          <w:rFonts w:hint="eastAsia" w:ascii="仿宋" w:hAnsi="仿宋" w:eastAsia="仿宋"/>
          <w:sz w:val="32"/>
        </w:rPr>
        <w:t>我局制定了</w:t>
      </w:r>
      <w:r>
        <w:rPr>
          <w:rFonts w:ascii="仿宋" w:hAnsi="仿宋" w:eastAsia="仿宋"/>
          <w:sz w:val="32"/>
        </w:rPr>
        <w:t>财务管理制度，严格审批程序</w:t>
      </w:r>
      <w:r>
        <w:rPr>
          <w:rFonts w:hint="eastAsia" w:ascii="仿宋" w:hAnsi="仿宋" w:eastAsia="仿宋"/>
          <w:sz w:val="32"/>
        </w:rPr>
        <w:t>。</w:t>
      </w:r>
    </w:p>
    <w:p>
      <w:pPr>
        <w:numPr>
          <w:ilvl w:val="0"/>
          <w:numId w:val="0"/>
        </w:numPr>
        <w:overflowPunct w:val="0"/>
        <w:adjustRightInd w:val="0"/>
        <w:snapToGrid w:val="0"/>
        <w:spacing w:after="156" w:afterLines="50" w:line="580" w:lineRule="exact"/>
        <w:ind w:firstLine="321" w:firstLineChars="100"/>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ind w:firstLine="321" w:firstLineChars="100"/>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ind w:firstLine="964" w:firstLineChars="3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698"/>
        <w:gridCol w:w="56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0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9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6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数量指标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公共文化服务体系建设专项资金管理办法</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演出场次</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140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场</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质量指标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时效指标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完工及时率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成本指标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每场演出成本</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3000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元</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社会效益指标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eastAsia"/>
                <w:b w:val="0"/>
                <w:i w:val="0"/>
                <w:snapToGrid/>
                <w:color w:val="000000"/>
                <w:sz w:val="22"/>
                <w:u w:val="none"/>
                <w:lang w:val="en-US" w:eastAsia="zh-CN"/>
              </w:rPr>
              <w:t>问卷调查</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提升基本公共文化服务水平</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p>
        </w:tc>
        <w:tc>
          <w:tcPr>
            <w:tcW w:w="2172" w:type="dxa"/>
            <w:tcBorders>
              <w:tl2br w:val="nil"/>
              <w:tr2bl w:val="nil"/>
            </w:tcBorders>
            <w:vAlign w:val="top"/>
          </w:tcPr>
          <w:p>
            <w:pPr>
              <w:kinsoku/>
              <w:autoSpaceDE/>
              <w:autoSpaceDN w:val="0"/>
              <w:jc w:val="left"/>
              <w:textAlignment w:val="top"/>
              <w:rPr>
                <w:rFonts w:ascii="方正书宋_GBK" w:eastAsia="方正书宋_GBK"/>
              </w:rPr>
            </w:pPr>
          </w:p>
        </w:tc>
        <w:tc>
          <w:tcPr>
            <w:tcW w:w="1483" w:type="dxa"/>
            <w:tcBorders>
              <w:tl2br w:val="nil"/>
              <w:tr2bl w:val="nil"/>
            </w:tcBorders>
            <w:vAlign w:val="top"/>
          </w:tcPr>
          <w:p>
            <w:pPr>
              <w:kinsoku/>
              <w:autoSpaceDE/>
              <w:autoSpaceDN w:val="0"/>
              <w:jc w:val="left"/>
              <w:textAlignment w:val="top"/>
              <w:rPr>
                <w:rFonts w:ascii="方正书宋_GBK" w:eastAsia="方正书宋_GBK"/>
              </w:rPr>
            </w:pP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p>
        </w:tc>
        <w:tc>
          <w:tcPr>
            <w:tcW w:w="2172" w:type="dxa"/>
            <w:tcBorders>
              <w:tl2br w:val="nil"/>
              <w:tr2bl w:val="nil"/>
            </w:tcBorders>
            <w:vAlign w:val="top"/>
          </w:tcPr>
          <w:p>
            <w:pPr>
              <w:kinsoku/>
              <w:autoSpaceDE/>
              <w:autoSpaceDN w:val="0"/>
              <w:jc w:val="left"/>
              <w:textAlignment w:val="top"/>
              <w:rPr>
                <w:rFonts w:ascii="方正书宋_GBK" w:eastAsia="方正书宋_GBK"/>
              </w:rPr>
            </w:pPr>
          </w:p>
        </w:tc>
        <w:tc>
          <w:tcPr>
            <w:tcW w:w="1483" w:type="dxa"/>
            <w:tcBorders>
              <w:tl2br w:val="nil"/>
              <w:tr2bl w:val="nil"/>
            </w:tcBorders>
            <w:vAlign w:val="top"/>
          </w:tcPr>
          <w:p>
            <w:pPr>
              <w:kinsoku/>
              <w:autoSpaceDE/>
              <w:autoSpaceDN w:val="0"/>
              <w:jc w:val="left"/>
              <w:textAlignment w:val="top"/>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服务对象满意度指标</w:t>
            </w:r>
          </w:p>
        </w:tc>
        <w:tc>
          <w:tcPr>
            <w:tcW w:w="2172" w:type="dxa"/>
            <w:tcBorders>
              <w:tl2br w:val="nil"/>
              <w:tr2bl w:val="nil"/>
            </w:tcBorders>
            <w:noWrap/>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群众满意度</w:t>
            </w:r>
          </w:p>
        </w:tc>
        <w:tc>
          <w:tcPr>
            <w:tcW w:w="1483" w:type="dxa"/>
            <w:tcBorders>
              <w:tl2br w:val="nil"/>
              <w:tr2bl w:val="nil"/>
            </w:tcBorders>
            <w:noWrap/>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问卷调查</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hint="eastAsia" w:ascii="仿宋_GB2312" w:hAnsi="仿宋_GB2312" w:eastAsia="仿宋_GB2312" w:cs="仿宋"/>
          <w:i w:val="0"/>
          <w:iCs w:val="0"/>
          <w:color w:val="000000"/>
          <w:kern w:val="0"/>
          <w:sz w:val="28"/>
          <w:szCs w:val="28"/>
          <w:u w:val="none"/>
          <w:lang w:val="en-US" w:eastAsia="zh-CN"/>
        </w:rPr>
        <w:t>2023年中央补助地方美术馆 公共图书馆 文化馆（站）免费开放补助资金-上级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tabs>
                <w:tab w:val="left" w:pos="422"/>
              </w:tabs>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资金按时拨付，保障两馆正常运行</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每人培训标准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免费开放，丰富群众文化生活</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2023年两馆免费开放资金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i w:val="0"/>
                <w:iCs w:val="0"/>
                <w:color w:val="000000"/>
                <w:kern w:val="0"/>
                <w:sz w:val="21"/>
                <w:szCs w:val="21"/>
                <w:u w:val="none"/>
                <w:lang w:val="en-US" w:eastAsia="zh-CN" w:bidi="ar"/>
              </w:rPr>
              <w:t>本项目通过两馆一站免费开放，保障基层群众文化生活的正常开展，按照工作方案的工作计划完成各项活动，实现县域内群众受益，群众满意度90%以上的年度绩效目标。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活动时间</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≥2天</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免费开放运行经费</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免费开放运行经费</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54万</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公益性文艺团体演出面向的群众</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w:t>
      </w:r>
      <w:r>
        <w:rPr>
          <w:rFonts w:hint="eastAsia" w:ascii="Times New Roman" w:hAnsi="Times New Roman" w:eastAsia="仿宋_GB2312" w:cs="Times New Roman"/>
          <w:sz w:val="28"/>
        </w:rPr>
        <w:t>省级“三馆一站”免费开放补助资金-上级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i w:val="0"/>
                <w:iCs w:val="0"/>
                <w:color w:val="000000"/>
                <w:kern w:val="0"/>
                <w:sz w:val="21"/>
                <w:szCs w:val="21"/>
                <w:u w:val="none"/>
                <w:lang w:val="en-US" w:eastAsia="zh-CN" w:bidi="ar"/>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设备产品维护合格率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资金按时拨付，保障两馆免费运行</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县及乡镇受益人群</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通过问卷调查，满意和较满意的对象占所有调查对象的比例</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420" w:firstLineChars="200"/>
        <w:jc w:val="center"/>
        <w:outlineLvl w:val="1"/>
        <w:rPr>
          <w:rFonts w:hint="eastAsia" w:ascii="仿宋_GB2312" w:hAnsi="仿宋_GB2312" w:eastAsia="仿宋_GB2312" w:cs="仿宋_GB2312"/>
          <w:sz w:val="21"/>
          <w:szCs w:val="21"/>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202</w:t>
      </w: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年劳务派遣人员经费</w:t>
      </w:r>
      <w:r>
        <w:rPr>
          <w:rFonts w:ascii="Times New Roman" w:hAnsi="Times New Roman" w:eastAsia="仿宋_GB2312" w:cs="Times New Roman"/>
          <w:sz w:val="28"/>
        </w:rPr>
        <w:t>绩效目标表绩效目标表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保障劳务派遣人员工资正常发放，保险按时缴纳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劳务派遣人数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劳务派遣人数</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工作质量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按时发放工资提高工作质量</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工资及时发放，提高工作积极性</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每人每月工资1680</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1680元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对单位的贡献率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劳务派遣人员对单位的贡献率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ind w:firstLine="420" w:firstLineChars="200"/>
        <w:jc w:val="center"/>
        <w:outlineLvl w:val="1"/>
        <w:rPr>
          <w:rFonts w:hint="eastAsia" w:ascii="仿宋_GB2312" w:hAnsi="仿宋_GB2312" w:eastAsia="仿宋_GB2312" w:cs="仿宋_GB2312"/>
          <w:sz w:val="21"/>
          <w:szCs w:val="21"/>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202</w:t>
      </w: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年中央补助地方公共文化服务体系建设专项资金-上级</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保障广大群众读书看报 观看电视 观赏电影 进行文化鉴赏 开展文化体育活动等基本文化权益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每场剧种演出时长</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2023年建档立卡脱贫户生产生活补助金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通过资金帮扶提高生活质量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584" w:lineRule="exact"/>
              <w:jc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rPr>
              <w:t>数量指标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对贫困户慰问次数</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慰问金到位率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时效指标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扶贫资金到位率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成本指标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节日慰问标准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生活质量提高百分比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pStyle w:val="2"/>
        <w:rPr>
          <w:rFonts w:hint="eastAsia"/>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2023年省级公共文化服务体系建设补助资金</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保障广大群众读书看报 观看电视 观赏电影 进行文化鉴赏 开展文化体育活动等基本文化权益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群众文化活动参与人次增长率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jc w:val="left"/>
        <w:outlineLvl w:val="1"/>
        <w:rPr>
          <w:rFonts w:ascii="Times New Roman" w:hAnsi="Times New Roman" w:eastAsia="仿宋_GB2312" w:cs="Times New Roman"/>
          <w:sz w:val="28"/>
        </w:rPr>
      </w:pPr>
    </w:p>
    <w:p>
      <w:pPr>
        <w:spacing w:line="584" w:lineRule="exact"/>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2023年升级非物质文化遗产保护专项资金</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对省级非遗代表项目传承活动进行补助，主要补助调查研究民俗活动支出以及省级代表性传承人开展传习活动等，推动非遗传承保护。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补助省级代表性传承人传习活动人数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省级代表传承人数量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非物质文化遗产资金管理办法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非遗传承展示推广活动受众人数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非遗活动受益人数</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补助资金发放到位率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及时发放时间</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省级代表性传承人每人补助资金</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每人补助资金</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0.6万元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非遗传承人群增长率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非遗传承人群每年的增长率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社会公众对非物质文化遗产保护满意度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提高群众知晓率，扩大影响</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仿宋_GB2312" w:hAnsi="仿宋_GB2312" w:eastAsia="仿宋_GB2312" w:cs="仿宋"/>
          <w:i w:val="0"/>
          <w:iCs w:val="0"/>
          <w:color w:val="000000"/>
          <w:kern w:val="0"/>
          <w:sz w:val="28"/>
          <w:szCs w:val="28"/>
          <w:u w:val="none"/>
          <w:lang w:val="en-US" w:eastAsia="zh-CN"/>
        </w:rPr>
        <w:t>2022年中央补助地方美术馆 公共图书馆 文化馆（站）免费开放补助资金-上级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val="0"/>
                <w:bCs/>
              </w:rPr>
              <w:t>本项目通过两馆一站免费开放，保障基层群众文化生活的正常开展，按照工作方案的工作计划完成各项活动，实现县域内群众受益，群众满意度90%以上的年度绩效目标。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活动时间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活动时间</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≥2天</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实际时间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免费开放运行经费</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免费开放运行经费</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54万元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历年经费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公益性文艺团体演出面向的群众</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rPr>
            </w:pPr>
          </w:p>
        </w:tc>
        <w:tc>
          <w:tcPr>
            <w:tcW w:w="3402" w:type="dxa"/>
            <w:shd w:val="clear" w:color="auto" w:fill="auto"/>
            <w:vAlign w:val="center"/>
          </w:tcPr>
          <w:p>
            <w:pPr>
              <w:spacing w:line="584" w:lineRule="exact"/>
              <w:jc w:val="center"/>
              <w:rPr>
                <w:rFonts w:hint="eastAsia" w:ascii="仿宋_GB2312" w:hAnsi="仿宋_GB2312" w:eastAsia="仿宋_GB2312" w:cs="仿宋_GB2312"/>
              </w:rPr>
            </w:pPr>
          </w:p>
        </w:tc>
        <w:tc>
          <w:tcPr>
            <w:tcW w:w="1843" w:type="dxa"/>
            <w:shd w:val="clear" w:color="auto" w:fill="auto"/>
            <w:vAlign w:val="center"/>
          </w:tcPr>
          <w:p>
            <w:pPr>
              <w:spacing w:line="584" w:lineRule="exact"/>
              <w:jc w:val="center"/>
              <w:rPr>
                <w:rFonts w:hint="eastAsia" w:ascii="仿宋_GB2312" w:hAnsi="仿宋_GB2312" w:eastAsia="仿宋_GB2312" w:cs="仿宋_GB2312"/>
              </w:rPr>
            </w:pPr>
          </w:p>
        </w:tc>
        <w:tc>
          <w:tcPr>
            <w:tcW w:w="2155" w:type="dxa"/>
            <w:shd w:val="clear" w:color="auto" w:fill="auto"/>
            <w:vAlign w:val="center"/>
          </w:tcPr>
          <w:p>
            <w:pPr>
              <w:spacing w:line="584" w:lineRule="exact"/>
              <w:jc w:val="center"/>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公益性文艺团体满意度测评</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2022年省级“三馆一站”免费开放补助资金-上级</w:t>
      </w:r>
      <w:r>
        <w:rPr>
          <w:rFonts w:ascii="Times New Roman" w:hAnsi="Times New Roman" w:eastAsia="仿宋_GB2312" w:cs="Times New Roman"/>
          <w:sz w:val="28"/>
        </w:rPr>
        <w:t>绩效目标表</w:t>
      </w:r>
    </w:p>
    <w:p>
      <w:pPr>
        <w:pStyle w:val="2"/>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设备产品维护合格率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公益性文艺团体演出面向的群众</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200000人</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通过试卷问答</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autoSpaceDE w:val="0"/>
        <w:autoSpaceDN w:val="0"/>
        <w:adjustRightInd w:val="0"/>
        <w:spacing w:line="584" w:lineRule="exact"/>
        <w:jc w:val="left"/>
        <w:rPr>
          <w:rFonts w:hint="eastAsia" w:ascii="Times New Roman" w:hAnsi="Times New Roman" w:eastAsia="仿宋_GB2312"/>
          <w:color w:val="FF0000"/>
          <w:kern w:val="0"/>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2022年中央补助地方公共文化服务体系建设专项资金-上级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平均每场电影放映场次</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平均每场电影放映场次</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≥12场</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设备合格率</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设备合格率</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放映补助标准</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放映补助标准</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200元</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调查报告</w:t>
            </w:r>
          </w:p>
        </w:tc>
      </w:tr>
    </w:tbl>
    <w:p>
      <w:pPr>
        <w:autoSpaceDE w:val="0"/>
        <w:autoSpaceDN w:val="0"/>
        <w:adjustRightInd w:val="0"/>
        <w:spacing w:line="584" w:lineRule="exact"/>
        <w:jc w:val="left"/>
        <w:rPr>
          <w:rFonts w:hint="eastAsia" w:ascii="Times New Roman" w:hAnsi="Times New Roman" w:eastAsia="仿宋_GB2312"/>
          <w:color w:val="FF0000"/>
          <w:kern w:val="0"/>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rPr>
      </w:pPr>
      <w:bookmarkStart w:id="2" w:name="_GoBack"/>
      <w:bookmarkEnd w:id="2"/>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rPr>
        <w:t>2022年中央</w:t>
      </w:r>
      <w:r>
        <w:rPr>
          <w:rFonts w:hint="eastAsia" w:ascii="Times New Roman" w:hAnsi="Times New Roman" w:eastAsia="仿宋_GB2312" w:cs="Times New Roman"/>
          <w:sz w:val="28"/>
          <w:lang w:val="en-US" w:eastAsia="zh-CN"/>
        </w:rPr>
        <w:t>支持</w:t>
      </w:r>
      <w:r>
        <w:rPr>
          <w:rFonts w:hint="eastAsia" w:ascii="Times New Roman" w:hAnsi="Times New Roman" w:eastAsia="仿宋_GB2312" w:cs="Times New Roman"/>
          <w:sz w:val="28"/>
        </w:rPr>
        <w:t>地方公共文化服务体系建设</w:t>
      </w:r>
      <w:r>
        <w:rPr>
          <w:rFonts w:hint="eastAsia" w:ascii="Times New Roman" w:hAnsi="Times New Roman" w:eastAsia="仿宋_GB2312" w:cs="Times New Roman"/>
          <w:sz w:val="28"/>
          <w:lang w:val="en-US" w:eastAsia="zh-CN"/>
        </w:rPr>
        <w:t>补助</w:t>
      </w:r>
      <w:r>
        <w:rPr>
          <w:rFonts w:hint="eastAsia" w:ascii="Times New Roman" w:hAnsi="Times New Roman" w:eastAsia="仿宋_GB2312" w:cs="Times New Roman"/>
          <w:sz w:val="28"/>
        </w:rPr>
        <w:t>资金-上级</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4"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群众文化活动参与人次增长率</w:t>
            </w: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增长率</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文化广电和旅游局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3118" w:type="dxa"/>
            <w:gridSpan w:val="2"/>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19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noWrap w:val="0"/>
            <w:vAlign w:val="center"/>
          </w:tcPr>
          <w:p/>
        </w:tc>
        <w:tc>
          <w:tcPr>
            <w:tcW w:w="1531" w:type="dxa"/>
            <w:vMerge w:val="continue"/>
            <w:noWrap w:val="0"/>
            <w:vAlign w:val="center"/>
          </w:tcPr>
          <w:p/>
        </w:tc>
        <w:tc>
          <w:tcPr>
            <w:tcW w:w="709" w:type="dxa"/>
            <w:vMerge w:val="continue"/>
            <w:noWrap w:val="0"/>
            <w:vAlign w:val="center"/>
          </w:tcPr>
          <w:p/>
        </w:tc>
        <w:tc>
          <w:tcPr>
            <w:tcW w:w="907" w:type="dxa"/>
            <w:vMerge w:val="continue"/>
            <w:noWrap w:val="0"/>
            <w:vAlign w:val="center"/>
          </w:tcPr>
          <w:p/>
        </w:tc>
        <w:tc>
          <w:tcPr>
            <w:tcW w:w="907" w:type="dxa"/>
            <w:vMerge w:val="continue"/>
            <w:noWrap w:val="0"/>
            <w:vAlign w:val="center"/>
          </w:tcP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noWrap w:val="0"/>
            <w:vAlign w:val="center"/>
          </w:tcPr>
          <w:p>
            <w:pPr>
              <w:spacing w:line="300" w:lineRule="exact"/>
              <w:jc w:val="righ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709" w:type="dxa"/>
            <w:noWrap w:val="0"/>
            <w:vAlign w:val="center"/>
          </w:tcPr>
          <w:p>
            <w:pPr>
              <w:spacing w:line="300" w:lineRule="exact"/>
              <w:jc w:val="center"/>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center"/>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709" w:type="dxa"/>
            <w:noWrap w:val="0"/>
            <w:vAlign w:val="center"/>
          </w:tcPr>
          <w:p>
            <w:pPr>
              <w:spacing w:line="300" w:lineRule="exact"/>
              <w:jc w:val="center"/>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大城县文化广电和旅游局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126.62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MDYzNmQ3ZjIzMmNiNzNmZmJjMWE2NWI3MDZlN2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12227A"/>
    <w:rsid w:val="01FB76C7"/>
    <w:rsid w:val="0A083831"/>
    <w:rsid w:val="100957B6"/>
    <w:rsid w:val="127A1044"/>
    <w:rsid w:val="13E306DA"/>
    <w:rsid w:val="16273291"/>
    <w:rsid w:val="16D57191"/>
    <w:rsid w:val="1C502F39"/>
    <w:rsid w:val="204A474C"/>
    <w:rsid w:val="22837AA1"/>
    <w:rsid w:val="228F3EC9"/>
    <w:rsid w:val="24DD7B67"/>
    <w:rsid w:val="29E523DF"/>
    <w:rsid w:val="2A704DAF"/>
    <w:rsid w:val="2C441012"/>
    <w:rsid w:val="2C941A8E"/>
    <w:rsid w:val="303045DB"/>
    <w:rsid w:val="313E687E"/>
    <w:rsid w:val="32A4051D"/>
    <w:rsid w:val="34313801"/>
    <w:rsid w:val="3E815385"/>
    <w:rsid w:val="3E8B454E"/>
    <w:rsid w:val="3F655022"/>
    <w:rsid w:val="49332E4F"/>
    <w:rsid w:val="4A4232D9"/>
    <w:rsid w:val="4A6958E5"/>
    <w:rsid w:val="4AB80953"/>
    <w:rsid w:val="4CAE6928"/>
    <w:rsid w:val="4FB429DD"/>
    <w:rsid w:val="51D53121"/>
    <w:rsid w:val="52143DC5"/>
    <w:rsid w:val="5566271A"/>
    <w:rsid w:val="57A37CC2"/>
    <w:rsid w:val="57E040E2"/>
    <w:rsid w:val="57E621C2"/>
    <w:rsid w:val="5E3E0DA2"/>
    <w:rsid w:val="5FB52C88"/>
    <w:rsid w:val="61774699"/>
    <w:rsid w:val="65F067C8"/>
    <w:rsid w:val="683D52B9"/>
    <w:rsid w:val="687D1153"/>
    <w:rsid w:val="6B1D22BB"/>
    <w:rsid w:val="6D41122C"/>
    <w:rsid w:val="71E7368C"/>
    <w:rsid w:val="73A806E2"/>
    <w:rsid w:val="76746812"/>
    <w:rsid w:val="7B0E1773"/>
    <w:rsid w:val="7D3C35F7"/>
    <w:rsid w:val="7E4F6457"/>
    <w:rsid w:val="7EF03A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autoRedefine/>
    <w:qFormat/>
    <w:uiPriority w:val="0"/>
    <w:pPr>
      <w:keepNext/>
      <w:keepLines/>
      <w:widowControl w:val="0"/>
      <w:spacing w:before="280" w:beforeLines="0" w:after="290" w:afterLines="0" w:line="377" w:lineRule="auto"/>
      <w:outlineLvl w:val="3"/>
    </w:pPr>
    <w:rPr>
      <w:rFonts w:ascii="Arial" w:hAnsi="Arial" w:eastAsia="黑体"/>
      <w:b/>
      <w:sz w:val="28"/>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autoSpaceDE w:val="0"/>
      <w:autoSpaceDN w:val="0"/>
      <w:jc w:val="left"/>
    </w:pPr>
    <w:rPr>
      <w:rFonts w:ascii="微软雅黑" w:hAnsi="微软雅黑" w:eastAsia="微软雅黑" w:cs="微软雅黑"/>
      <w:kern w:val="0"/>
      <w:sz w:val="32"/>
      <w:szCs w:val="32"/>
      <w:lang w:val="zh-CN"/>
    </w:rPr>
  </w:style>
  <w:style w:type="paragraph" w:styleId="4">
    <w:name w:val="Balloon Text"/>
    <w:basedOn w:val="1"/>
    <w:link w:val="15"/>
    <w:autoRedefine/>
    <w:semiHidden/>
    <w:unhideWhenUsed/>
    <w:qFormat/>
    <w:uiPriority w:val="99"/>
    <w:rPr>
      <w:sz w:val="18"/>
      <w:szCs w:val="18"/>
    </w:rPr>
  </w:style>
  <w:style w:type="paragraph" w:styleId="5">
    <w:name w:val="footer"/>
    <w:basedOn w:val="1"/>
    <w:link w:val="14"/>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3"/>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toc 1"/>
    <w:basedOn w:val="1"/>
    <w:next w:val="1"/>
    <w:autoRedefine/>
    <w:qFormat/>
    <w:uiPriority w:val="39"/>
    <w:rPr>
      <w:rFonts w:ascii="Times New Roman" w:hAnsi="Times New Roman" w:eastAsia="宋体" w:cs="Times New Roman"/>
      <w:szCs w:val="24"/>
    </w:rPr>
  </w:style>
  <w:style w:type="paragraph" w:styleId="8">
    <w:name w:val="footnote text"/>
    <w:basedOn w:val="1"/>
    <w:link w:val="17"/>
    <w:autoRedefine/>
    <w:semiHidden/>
    <w:unhideWhenUsed/>
    <w:qFormat/>
    <w:uiPriority w:val="99"/>
    <w:pPr>
      <w:snapToGrid w:val="0"/>
      <w:jc w:val="left"/>
    </w:pPr>
    <w:rPr>
      <w:rFonts w:ascii="Calibri" w:hAnsi="Calibri" w:eastAsia="宋体" w:cs="Times New Roman"/>
      <w:sz w:val="18"/>
      <w:szCs w:val="18"/>
    </w:rPr>
  </w:style>
  <w:style w:type="paragraph" w:styleId="9">
    <w:name w:val="toc 2"/>
    <w:basedOn w:val="1"/>
    <w:next w:val="1"/>
    <w:qFormat/>
    <w:uiPriority w:val="39"/>
    <w:pPr>
      <w:ind w:left="420" w:leftChars="200"/>
    </w:pPr>
    <w:rPr>
      <w:rFonts w:ascii="Times New Roman" w:hAnsi="Times New Roman" w:eastAsia="宋体" w:cs="Times New Roman"/>
      <w:szCs w:val="24"/>
    </w:rPr>
  </w:style>
  <w:style w:type="character" w:styleId="12">
    <w:name w:val="footnote reference"/>
    <w:semiHidden/>
    <w:unhideWhenUsed/>
    <w:qFormat/>
    <w:uiPriority w:val="99"/>
    <w:rPr>
      <w:vertAlign w:val="superscript"/>
    </w:rPr>
  </w:style>
  <w:style w:type="character" w:customStyle="1" w:styleId="13">
    <w:name w:val="页眉 Char"/>
    <w:basedOn w:val="11"/>
    <w:link w:val="6"/>
    <w:qFormat/>
    <w:uiPriority w:val="99"/>
    <w:rPr>
      <w:rFonts w:ascii="Times New Roman" w:hAnsi="Times New Roman" w:eastAsia="宋体" w:cs="Times New Roman"/>
      <w:sz w:val="18"/>
      <w:szCs w:val="18"/>
    </w:rPr>
  </w:style>
  <w:style w:type="character" w:customStyle="1" w:styleId="14">
    <w:name w:val="页脚 Char"/>
    <w:basedOn w:val="11"/>
    <w:link w:val="5"/>
    <w:qFormat/>
    <w:uiPriority w:val="99"/>
    <w:rPr>
      <w:rFonts w:ascii="Times New Roman" w:hAnsi="Times New Roman" w:eastAsia="宋体" w:cs="Times New Roman"/>
      <w:sz w:val="18"/>
      <w:szCs w:val="18"/>
    </w:rPr>
  </w:style>
  <w:style w:type="character" w:customStyle="1" w:styleId="15">
    <w:name w:val="批注框文本 Char"/>
    <w:basedOn w:val="11"/>
    <w:link w:val="4"/>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11"/>
    <w:link w:val="8"/>
    <w:semiHidden/>
    <w:qFormat/>
    <w:uiPriority w:val="99"/>
    <w:rPr>
      <w:rFonts w:ascii="Calibri" w:hAnsi="Calibri" w:eastAsia="宋体" w:cs="Times New Roman"/>
      <w:sz w:val="18"/>
      <w:szCs w:val="18"/>
    </w:rPr>
  </w:style>
  <w:style w:type="paragraph" w:customStyle="1" w:styleId="18">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1">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2">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4">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8255</Words>
  <Characters>8630</Characters>
  <Lines>35</Lines>
  <Paragraphs>10</Paragraphs>
  <TotalTime>57</TotalTime>
  <ScaleCrop>false</ScaleCrop>
  <LinksUpToDate>false</LinksUpToDate>
  <CharactersWithSpaces>8666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2024-05-17T10:00:46Z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923F180C104640758B02E8876819FF95</vt:lpwstr>
  </property>
</Properties>
</file>