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hint="eastAsia" w:ascii="黑体" w:hAnsi="黑体" w:eastAsia="黑体" w:cs="黑体"/>
          <w:sz w:val="44"/>
          <w:szCs w:val="44"/>
        </w:rPr>
      </w:pPr>
      <w:r>
        <w:rPr>
          <w:rFonts w:hint="eastAsia" w:ascii="黑体" w:hAnsi="黑体" w:eastAsia="黑体" w:cs="黑体"/>
          <w:sz w:val="44"/>
          <w:szCs w:val="44"/>
        </w:rPr>
        <w:t>大城县人民政府办公室2019年部门预算信息公开情况说明</w:t>
      </w:r>
    </w:p>
    <w:p>
      <w:pPr>
        <w:spacing w:line="584" w:lineRule="exact"/>
        <w:ind w:firstLine="880" w:firstLineChars="200"/>
        <w:jc w:val="center"/>
        <w:rPr>
          <w:rFonts w:ascii="Times New Roman" w:hAnsi="Times New Roman" w:eastAsia="仿宋_GB2312"/>
          <w:sz w:val="44"/>
          <w:szCs w:val="44"/>
        </w:rPr>
      </w:pPr>
    </w:p>
    <w:p>
      <w:pPr>
        <w:spacing w:line="584"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按照《</w:t>
      </w:r>
      <w:bookmarkStart w:id="5" w:name="_GoBack"/>
      <w:r>
        <w:rPr>
          <w:rFonts w:hint="eastAsia" w:ascii="楷体_GB2312" w:hAnsi="楷体_GB2312" w:eastAsia="楷体_GB2312" w:cs="楷体_GB2312"/>
          <w:sz w:val="32"/>
          <w:szCs w:val="32"/>
        </w:rPr>
        <w:t>中华人民共和国</w:t>
      </w:r>
      <w:bookmarkEnd w:id="5"/>
      <w:r>
        <w:rPr>
          <w:rFonts w:hint="eastAsia" w:ascii="楷体_GB2312" w:hAnsi="楷体_GB2312" w:eastAsia="楷体_GB2312" w:cs="楷体_GB2312"/>
          <w:sz w:val="32"/>
          <w:szCs w:val="32"/>
        </w:rPr>
        <w:t>预算法》、《地方预决算公开操作规程》和《河北省省级预算公开办法》规定，现将大城县人民政府办公室2019年部门预算公开如下：</w:t>
      </w:r>
    </w:p>
    <w:p>
      <w:pPr>
        <w:spacing w:line="584" w:lineRule="exact"/>
        <w:ind w:firstLine="640" w:firstLineChars="200"/>
        <w:rPr>
          <w:rFonts w:ascii="Times New Roman" w:hAnsi="Times New Roman" w:eastAsia="黑体"/>
          <w:sz w:val="32"/>
          <w:szCs w:val="32"/>
        </w:rPr>
      </w:pPr>
      <w:r>
        <w:rPr>
          <w:rFonts w:hint="eastAsia" w:ascii="Times New Roman" w:hAnsi="黑体" w:eastAsia="黑体"/>
          <w:sz w:val="32"/>
          <w:szCs w:val="32"/>
        </w:rPr>
        <w:t>一、部门职责及机构设置情况</w:t>
      </w:r>
    </w:p>
    <w:p>
      <w:pPr>
        <w:spacing w:line="584" w:lineRule="exact"/>
        <w:ind w:firstLine="643" w:firstLineChars="200"/>
        <w:rPr>
          <w:rFonts w:ascii="Times New Roman" w:hAnsi="Times New Roman" w:eastAsia="楷体_GB2312"/>
          <w:b/>
          <w:sz w:val="32"/>
          <w:szCs w:val="32"/>
        </w:rPr>
      </w:pPr>
      <w:r>
        <w:rPr>
          <w:rFonts w:hint="eastAsia" w:ascii="Times New Roman" w:hAnsi="Times New Roman" w:eastAsia="楷体_GB2312"/>
          <w:b/>
          <w:sz w:val="32"/>
          <w:szCs w:val="32"/>
        </w:rPr>
        <w:t>部门职责：</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县政府办职责</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1、围绕县政府各时期的中心工作和重点工作，搞好调查研究和信息反馈，掌握全县经济和社会发展动态，为领导当好参谋。</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2、负责县政府各种会议的准备和组织工作。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3、负责县政府暨办公室文、电的起草、审核把关和政府机关的文书处理工作，负责政府机关的档案管理、印信管理和保密工作。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4、负责组织县政府工作报告，领导同志讲话及其它文稿的起草修改工作。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5、根据需要，负责与县委、人大、政协、纪委的联系，协调上下左右之间的关系。</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6、督促检查县政府各部门、各乡镇人民政府对上级重要文件，会议决定事项及县政府领导同志重要批示，工作部署的执行，落实情况，并向领导同志报告。</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7、负责县政府机关值班工作，及时向县政府领导同志报告重要情况，协助领导同志组织处理重要突发事件，重大灾情和重大事故。</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8、负责人大代表的建议，意见及政协提案的办理工作，负责依法行政监督检查。</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9、负责县政府宾客接待，公务接待工作。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10、按照县政府有关规定、管理机关事务、监督管理和指导县宾馆、招待所和礼堂的工作。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11、办理县政府领导同志交办的其它事项。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县民宗局职责</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1、贯彻执行党和国家关于民族宗教工作的方针、政策和法律、法规，拟定有关民族宗教政策的实施意见，并负责组织实施和监督。</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2、组织开展民族宗教政策法规的宣传、培训和教育，监督检查民族宗教政策、法规的执行情况；组织开展民族宗教理论的学习与研究，提出建议和意见。</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3、排查调处影响民族团结和社会稳定的矛盾和问题，协调民族关系，办理有关保障少数民族各项权益的事宜，尊重少数民族风俗习惯，维护民族团结和社会稳定。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4、负责《中华人民共和国民族区域自治法》、《城市民族工作条例》、《河北省散居少数民族权益保障条例》和《河北省清真食品管理条例》的贯彻实施。</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5、会同统战、组织、人事等部门，做好少数民族干部的选拔、培养和使用工作。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6、根据有关政策规定，负责少数民族考生有关优惠政策的落实；负责全县少数民族经济、文化、教育、卫生、体育、科技及民族干部的统计、汇总、上报；负责民族古籍的发掘、整理、出版。</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7、根据有关政策规定，负责管理民族识别和民族成份的审核、批准工作。</w:t>
      </w:r>
    </w:p>
    <w:p>
      <w:pPr>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8、负责对全县宗教事务的管理。依据相关法律、法规，依法管理宗教事务，并监督检查各乡镇（区）各部门的执行情况，贯彻宗教信仰自由政策，保证正常宗教活动的有序进行，维护宗教团体的合法权益。</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负责指导、帮助和支持宗教团体加强自身的思想、组织、制度的等方面的建设，支持宗教团体独立自主自办教会，帮助宗教团体教育、培养爱国进步合格的宗教教职人员；办理宗教团体需由政府协助或协调的事务；协调指导乡镇人民政府及时处理民族宗教方面的突发事件和影响社会稳定的问题，维护宗教领域的稳定；负责对全县宗教工作干部和宗教界人士地教育培训工作，支持帮助宗教界开展对外友好往来，协同有关部门处理宗教方面的涉外事宜，会同有关部门打击取缔邪教组织，抵制境外敌对势力利用宗教进行的渗透活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10、承办县委、县政府交办的其他事宜。</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县能源办职责</w:t>
      </w:r>
    </w:p>
    <w:p>
      <w:pPr>
        <w:ind w:firstLine="800" w:firstLineChars="25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1、代表县政府与油田、煤田、铁路、电力等单位开展工作联系，并协调在勘查开发、选线确站、管道铺设和生产建设中与地方的关系，搞好项目工程的全方位服务。</w:t>
      </w:r>
    </w:p>
    <w:p>
      <w:pPr>
        <w:ind w:firstLine="800" w:firstLineChars="25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2、承担全县煤炭生产许可证的审核、申报和监管工作，依法整顿和规范煤炭生产秩序。同时，对不具备生产条件的矿井依法组织关闭。</w:t>
      </w:r>
    </w:p>
    <w:p>
      <w:pPr>
        <w:ind w:firstLine="800" w:firstLineChars="25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3、协调施工单位办理项目占地、设施拆迁、树木砍伐、土价确定等工作；负责压煤区域的搬迁、补偿和安置工作，依法对压煤项目的审批工作。并会同财政部门及工程单位做好相关补偿工作。</w:t>
      </w:r>
    </w:p>
    <w:p>
      <w:pPr>
        <w:ind w:firstLine="800" w:firstLineChars="25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4、参与煤矿建设工程的初审；审查国有煤矿采矿权转让方案；审查、报批煤矿建筑物、水体、公路、铁路压煤开采方案设计，会同有关部门统一规划建设煤矿公共建设设施和配套服务区。</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left="640" w:leftChars="305" w:firstLine="160" w:firstLineChars="50"/>
        <w:jc w:val="left"/>
        <w:rPr>
          <w:rFonts w:hint="eastAsia" w:ascii="仿宋_GB2312" w:hAnsi="仿宋_GB2312" w:eastAsia="仿宋_GB2312" w:cs="仿宋_GB2312"/>
          <w:b/>
          <w:sz w:val="32"/>
          <w:szCs w:val="32"/>
          <w:highlight w:val="red"/>
        </w:rPr>
      </w:pPr>
      <w:r>
        <w:rPr>
          <w:rFonts w:hint="eastAsia" w:ascii="仿宋_GB2312" w:hAnsi="仿宋_GB2312" w:eastAsia="仿宋_GB2312" w:cs="仿宋_GB2312"/>
          <w:sz w:val="32"/>
          <w:szCs w:val="20"/>
        </w:rPr>
        <w:t>5、</w:t>
      </w:r>
      <w:r>
        <w:rPr>
          <w:rFonts w:hint="eastAsia" w:ascii="仿宋_GB2312" w:hAnsi="仿宋_GB2312" w:eastAsia="仿宋_GB2312" w:cs="仿宋_GB2312"/>
          <w:kern w:val="0"/>
          <w:sz w:val="32"/>
          <w:szCs w:val="32"/>
        </w:rPr>
        <w:t>承办县委、县政府交办的其他事项。</w:t>
      </w:r>
    </w:p>
    <w:p>
      <w:pPr>
        <w:autoSpaceDE w:val="0"/>
        <w:autoSpaceDN w:val="0"/>
        <w:adjustRightInd w:val="0"/>
        <w:spacing w:line="584" w:lineRule="exact"/>
        <w:ind w:firstLine="630" w:firstLineChars="196"/>
        <w:jc w:val="left"/>
        <w:rPr>
          <w:rFonts w:ascii="Times New Roman" w:hAnsi="Times New Roman" w:eastAsia="楷体_GB2312"/>
          <w:b/>
          <w:sz w:val="32"/>
          <w:szCs w:val="32"/>
        </w:rPr>
      </w:pPr>
      <w:r>
        <w:rPr>
          <w:rFonts w:hint="eastAsia" w:ascii="Times New Roman" w:hAnsi="Times New Roman" w:eastAsia="楷体_GB2312"/>
          <w:b/>
          <w:sz w:val="32"/>
          <w:szCs w:val="32"/>
        </w:rPr>
        <w:t>机构设置：</w:t>
      </w:r>
    </w:p>
    <w:p>
      <w:pPr>
        <w:spacing w:line="584" w:lineRule="exact"/>
        <w:jc w:val="center"/>
        <w:outlineLvl w:val="0"/>
        <w:rPr>
          <w:rFonts w:ascii="Times New Roman" w:hAnsi="Times New Roman" w:eastAsia="仿宋_GB2312"/>
          <w:b/>
          <w:sz w:val="32"/>
          <w:szCs w:val="24"/>
        </w:rPr>
      </w:pPr>
      <w:r>
        <w:rPr>
          <w:rFonts w:hint="eastAsia" w:ascii="Times New Roman" w:hAnsi="Times New Roman" w:eastAsia="仿宋_GB2312"/>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vAlign w:val="center"/>
          </w:tcPr>
          <w:p>
            <w:pPr>
              <w:spacing w:line="584" w:lineRule="exact"/>
              <w:jc w:val="center"/>
              <w:rPr>
                <w:rFonts w:ascii="Times New Roman" w:hAnsi="Times New Roman" w:eastAsia="仿宋_GB2312"/>
                <w:b/>
                <w:szCs w:val="24"/>
              </w:rPr>
            </w:pPr>
            <w:r>
              <w:rPr>
                <w:rFonts w:hint="eastAsia" w:ascii="Times New Roman" w:hAnsi="Times New Roman" w:eastAsia="仿宋_GB2312"/>
                <w:b/>
                <w:szCs w:val="24"/>
              </w:rPr>
              <w:t>单位名称</w:t>
            </w:r>
          </w:p>
        </w:tc>
        <w:tc>
          <w:tcPr>
            <w:tcW w:w="1134" w:type="dxa"/>
            <w:vMerge w:val="restart"/>
            <w:vAlign w:val="center"/>
          </w:tcPr>
          <w:p>
            <w:pPr>
              <w:spacing w:line="584" w:lineRule="exact"/>
              <w:jc w:val="center"/>
              <w:rPr>
                <w:rFonts w:ascii="Times New Roman" w:hAnsi="Times New Roman" w:eastAsia="仿宋_GB2312"/>
                <w:b/>
                <w:szCs w:val="24"/>
              </w:rPr>
            </w:pPr>
            <w:r>
              <w:rPr>
                <w:rFonts w:hint="eastAsia" w:ascii="Times New Roman" w:hAnsi="Times New Roman" w:eastAsia="仿宋_GB2312"/>
                <w:b/>
                <w:szCs w:val="24"/>
              </w:rPr>
              <w:t>单位性质</w:t>
            </w:r>
          </w:p>
        </w:tc>
        <w:tc>
          <w:tcPr>
            <w:tcW w:w="1276" w:type="dxa"/>
            <w:vMerge w:val="restart"/>
            <w:vAlign w:val="center"/>
          </w:tcPr>
          <w:p>
            <w:pPr>
              <w:spacing w:line="584" w:lineRule="exact"/>
              <w:jc w:val="center"/>
              <w:rPr>
                <w:rFonts w:ascii="Times New Roman" w:hAnsi="Times New Roman" w:eastAsia="仿宋_GB2312"/>
                <w:b/>
                <w:szCs w:val="24"/>
              </w:rPr>
            </w:pPr>
            <w:r>
              <w:rPr>
                <w:rFonts w:hint="eastAsia" w:ascii="Times New Roman" w:hAnsi="Times New Roman" w:eastAsia="仿宋_GB2312"/>
                <w:b/>
                <w:szCs w:val="24"/>
              </w:rPr>
              <w:t>单位规格</w:t>
            </w:r>
          </w:p>
        </w:tc>
        <w:tc>
          <w:tcPr>
            <w:tcW w:w="2902" w:type="dxa"/>
            <w:vMerge w:val="restart"/>
            <w:vAlign w:val="center"/>
          </w:tcPr>
          <w:p>
            <w:pPr>
              <w:spacing w:line="584" w:lineRule="exact"/>
              <w:jc w:val="center"/>
              <w:rPr>
                <w:rFonts w:ascii="Times New Roman" w:hAnsi="Times New Roman" w:eastAsia="仿宋_GB2312"/>
                <w:b/>
                <w:szCs w:val="24"/>
              </w:rPr>
            </w:pPr>
            <w:r>
              <w:rPr>
                <w:rFonts w:hint="eastAsia" w:ascii="Times New Roman" w:hAnsi="Times New Roman" w:eastAsia="仿宋_GB2312"/>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vAlign w:val="center"/>
          </w:tcPr>
          <w:p>
            <w:pPr>
              <w:spacing w:line="584" w:lineRule="exact"/>
              <w:jc w:val="left"/>
              <w:outlineLvl w:val="0"/>
              <w:rPr>
                <w:rFonts w:ascii="Times New Roman" w:hAnsi="Times New Roman" w:eastAsia="仿宋_GB2312"/>
                <w:szCs w:val="24"/>
              </w:rPr>
            </w:pPr>
          </w:p>
        </w:tc>
        <w:tc>
          <w:tcPr>
            <w:tcW w:w="1134" w:type="dxa"/>
            <w:vMerge w:val="continue"/>
            <w:vAlign w:val="center"/>
          </w:tcPr>
          <w:p>
            <w:pPr>
              <w:spacing w:line="584" w:lineRule="exact"/>
              <w:jc w:val="left"/>
              <w:outlineLvl w:val="0"/>
              <w:rPr>
                <w:rFonts w:ascii="Times New Roman" w:hAnsi="Times New Roman" w:eastAsia="仿宋_GB2312"/>
                <w:szCs w:val="24"/>
              </w:rPr>
            </w:pPr>
          </w:p>
        </w:tc>
        <w:tc>
          <w:tcPr>
            <w:tcW w:w="1276" w:type="dxa"/>
            <w:vMerge w:val="continue"/>
            <w:vAlign w:val="center"/>
          </w:tcPr>
          <w:p>
            <w:pPr>
              <w:spacing w:line="584" w:lineRule="exact"/>
              <w:jc w:val="left"/>
              <w:outlineLvl w:val="0"/>
              <w:rPr>
                <w:rFonts w:ascii="Times New Roman" w:hAnsi="Times New Roman" w:eastAsia="仿宋_GB2312"/>
                <w:szCs w:val="24"/>
              </w:rPr>
            </w:pPr>
          </w:p>
        </w:tc>
        <w:tc>
          <w:tcPr>
            <w:tcW w:w="2902" w:type="dxa"/>
            <w:vMerge w:val="continue"/>
            <w:vAlign w:val="center"/>
          </w:tcPr>
          <w:p>
            <w:pPr>
              <w:spacing w:line="584" w:lineRule="exact"/>
              <w:jc w:val="left"/>
              <w:outlineLvl w:val="0"/>
              <w:rPr>
                <w:rFonts w:ascii="Times New Roman" w:hAnsi="Times New Roman" w:eastAsia="仿宋_GB2312"/>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584" w:lineRule="exact"/>
              <w:jc w:val="center"/>
              <w:rPr>
                <w:rFonts w:ascii="Times New Roman" w:hAnsi="Times New Roman" w:eastAsia="仿宋_GB2312"/>
                <w:b/>
              </w:rPr>
            </w:pPr>
            <w:r>
              <w:rPr>
                <w:rFonts w:hint="eastAsia" w:ascii="Times New Roman" w:hAnsi="Times New Roman" w:eastAsia="方正书宋_GBK"/>
                <w:szCs w:val="24"/>
              </w:rPr>
              <w:t>大城县人民政府办公室</w:t>
            </w:r>
          </w:p>
        </w:tc>
        <w:tc>
          <w:tcPr>
            <w:tcW w:w="1134" w:type="dxa"/>
            <w:vAlign w:val="center"/>
          </w:tcPr>
          <w:p>
            <w:pPr>
              <w:spacing w:line="584" w:lineRule="exact"/>
              <w:jc w:val="center"/>
              <w:rPr>
                <w:rFonts w:ascii="Times New Roman" w:hAnsi="Times New Roman" w:eastAsia="仿宋_GB2312"/>
                <w:b/>
              </w:rPr>
            </w:pPr>
            <w:r>
              <w:rPr>
                <w:rFonts w:hint="eastAsia" w:ascii="Times New Roman" w:hAnsi="Times New Roman" w:eastAsia="方正书宋_GBK"/>
                <w:szCs w:val="24"/>
              </w:rPr>
              <w:t>行政</w:t>
            </w:r>
          </w:p>
        </w:tc>
        <w:tc>
          <w:tcPr>
            <w:tcW w:w="1276" w:type="dxa"/>
            <w:vAlign w:val="center"/>
          </w:tcPr>
          <w:p>
            <w:pPr>
              <w:spacing w:line="584" w:lineRule="exact"/>
              <w:jc w:val="center"/>
              <w:rPr>
                <w:rFonts w:ascii="Times New Roman" w:hAnsi="Times New Roman" w:eastAsia="仿宋_GB2312"/>
                <w:b/>
              </w:rPr>
            </w:pPr>
            <w:r>
              <w:rPr>
                <w:rFonts w:hint="eastAsia" w:ascii="宋体" w:hAnsi="宋体" w:cs="宋体"/>
                <w:szCs w:val="24"/>
              </w:rPr>
              <w:t>正科级</w:t>
            </w:r>
          </w:p>
        </w:tc>
        <w:tc>
          <w:tcPr>
            <w:tcW w:w="2902" w:type="dxa"/>
            <w:vAlign w:val="center"/>
          </w:tcPr>
          <w:p>
            <w:pPr>
              <w:spacing w:line="584" w:lineRule="exact"/>
              <w:jc w:val="center"/>
              <w:rPr>
                <w:rFonts w:ascii="Times New Roman" w:hAnsi="Times New Roman" w:eastAsia="仿宋_GB2312"/>
                <w:b/>
              </w:rPr>
            </w:pPr>
            <w:r>
              <w:rPr>
                <w:rFonts w:hint="eastAsia"/>
                <w:szCs w:val="21"/>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584" w:lineRule="exact"/>
              <w:ind w:firstLine="1155" w:firstLineChars="550"/>
              <w:jc w:val="left"/>
              <w:rPr>
                <w:rFonts w:ascii="Times New Roman" w:hAnsi="Times New Roman" w:eastAsia="仿宋_GB2312"/>
              </w:rPr>
            </w:pPr>
            <w:r>
              <w:rPr>
                <w:rFonts w:hint="eastAsia" w:ascii="方正书宋_GBK" w:eastAsia="方正书宋_GBK"/>
              </w:rPr>
              <w:t>大城县民族宗教事务局</w:t>
            </w:r>
          </w:p>
        </w:tc>
        <w:tc>
          <w:tcPr>
            <w:tcW w:w="1134" w:type="dxa"/>
            <w:vAlign w:val="center"/>
          </w:tcPr>
          <w:p>
            <w:pPr>
              <w:spacing w:line="584" w:lineRule="exact"/>
              <w:jc w:val="center"/>
              <w:rPr>
                <w:rFonts w:ascii="Times New Roman" w:hAnsi="Times New Roman" w:eastAsia="仿宋_GB2312"/>
              </w:rPr>
            </w:pPr>
            <w:r>
              <w:rPr>
                <w:rFonts w:hint="eastAsia" w:ascii="Times New Roman" w:hAnsi="Times New Roman" w:eastAsia="方正书宋_GBK"/>
                <w:szCs w:val="24"/>
              </w:rPr>
              <w:t>行政</w:t>
            </w:r>
          </w:p>
        </w:tc>
        <w:tc>
          <w:tcPr>
            <w:tcW w:w="1276" w:type="dxa"/>
            <w:vAlign w:val="center"/>
          </w:tcPr>
          <w:p>
            <w:pPr>
              <w:spacing w:line="584" w:lineRule="exact"/>
              <w:jc w:val="center"/>
              <w:rPr>
                <w:rFonts w:ascii="Times New Roman" w:hAnsi="Times New Roman" w:eastAsia="仿宋_GB2312"/>
              </w:rPr>
            </w:pPr>
            <w:r>
              <w:rPr>
                <w:rFonts w:hint="eastAsia" w:ascii="宋体" w:hAnsi="宋体" w:cs="宋体"/>
                <w:szCs w:val="24"/>
              </w:rPr>
              <w:t>正科级</w:t>
            </w:r>
          </w:p>
        </w:tc>
        <w:tc>
          <w:tcPr>
            <w:tcW w:w="2902" w:type="dxa"/>
            <w:vAlign w:val="center"/>
          </w:tcPr>
          <w:p>
            <w:pPr>
              <w:spacing w:line="584" w:lineRule="exact"/>
              <w:jc w:val="center"/>
              <w:rPr>
                <w:rFonts w:ascii="Times New Roman" w:hAnsi="Times New Roman" w:eastAsia="仿宋_GB2312"/>
              </w:rPr>
            </w:pPr>
            <w:r>
              <w:rPr>
                <w:rFonts w:hint="eastAsia" w:ascii="方正书宋_GBK" w:eastAsia="方正书宋_GBK"/>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584" w:lineRule="exact"/>
              <w:ind w:firstLine="1575" w:firstLineChars="750"/>
              <w:jc w:val="left"/>
              <w:rPr>
                <w:rFonts w:ascii="Times New Roman" w:hAnsi="Times New Roman" w:eastAsia="仿宋_GB2312"/>
              </w:rPr>
            </w:pPr>
            <w:r>
              <w:rPr>
                <w:rFonts w:hint="eastAsia" w:ascii="方正书宋_GBK" w:eastAsia="方正书宋_GBK"/>
              </w:rPr>
              <w:t>大城县能源办公室</w:t>
            </w:r>
          </w:p>
        </w:tc>
        <w:tc>
          <w:tcPr>
            <w:tcW w:w="1134" w:type="dxa"/>
            <w:vAlign w:val="center"/>
          </w:tcPr>
          <w:p>
            <w:pPr>
              <w:spacing w:line="584" w:lineRule="exact"/>
              <w:jc w:val="center"/>
              <w:rPr>
                <w:rFonts w:ascii="Times New Roman" w:hAnsi="Times New Roman" w:eastAsia="仿宋_GB2312"/>
              </w:rPr>
            </w:pPr>
            <w:r>
              <w:rPr>
                <w:rFonts w:hint="eastAsia" w:ascii="方正书宋_GBK" w:eastAsia="方正书宋_GBK"/>
              </w:rPr>
              <w:t>事业</w:t>
            </w:r>
          </w:p>
        </w:tc>
        <w:tc>
          <w:tcPr>
            <w:tcW w:w="1276" w:type="dxa"/>
            <w:vAlign w:val="center"/>
          </w:tcPr>
          <w:p>
            <w:pPr>
              <w:spacing w:line="584" w:lineRule="exact"/>
              <w:jc w:val="center"/>
              <w:rPr>
                <w:rFonts w:ascii="Times New Roman" w:hAnsi="Times New Roman" w:eastAsia="仿宋_GB2312"/>
              </w:rPr>
            </w:pPr>
            <w:r>
              <w:rPr>
                <w:rFonts w:hint="eastAsia" w:ascii="宋体" w:hAnsi="宋体" w:cs="宋体"/>
                <w:szCs w:val="24"/>
              </w:rPr>
              <w:t>正科级</w:t>
            </w:r>
          </w:p>
        </w:tc>
        <w:tc>
          <w:tcPr>
            <w:tcW w:w="2902" w:type="dxa"/>
            <w:vAlign w:val="center"/>
          </w:tcPr>
          <w:p>
            <w:pPr>
              <w:spacing w:line="584" w:lineRule="exact"/>
              <w:jc w:val="center"/>
              <w:rPr>
                <w:rFonts w:ascii="Times New Roman" w:hAnsi="Times New Roman" w:eastAsia="仿宋_GB2312"/>
              </w:rPr>
            </w:pPr>
            <w:r>
              <w:rPr>
                <w:rFonts w:hint="eastAsia" w:ascii="方正书宋_GBK" w:eastAsia="方正书宋_GBK"/>
              </w:rPr>
              <w:t>财政性资金基本保证</w:t>
            </w:r>
          </w:p>
        </w:tc>
      </w:tr>
    </w:tbl>
    <w:p>
      <w:pPr>
        <w:spacing w:line="584" w:lineRule="exact"/>
        <w:ind w:firstLine="640" w:firstLineChars="200"/>
        <w:rPr>
          <w:rFonts w:ascii="Times New Roman" w:hAnsi="Times New Roman" w:eastAsia="黑体"/>
          <w:sz w:val="32"/>
          <w:szCs w:val="32"/>
        </w:rPr>
      </w:pPr>
      <w:r>
        <w:rPr>
          <w:rFonts w:hint="eastAsia" w:ascii="Times New Roman" w:hAnsi="黑体" w:eastAsia="黑体"/>
          <w:sz w:val="32"/>
          <w:szCs w:val="32"/>
        </w:rPr>
        <w:t>二、部门预算安排的总体情况</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按照预算管理有关规定，目前我县部门预算的编制实行综合预算制度，即全部收入和支出都反映在预算中。</w:t>
      </w:r>
    </w:p>
    <w:p>
      <w:pPr>
        <w:spacing w:line="584" w:lineRule="exact"/>
        <w:ind w:firstLine="640"/>
        <w:rPr>
          <w:rFonts w:hint="eastAsia" w:ascii="楷体_GB2312" w:hAnsi="楷体_GB2312" w:eastAsia="楷体_GB2312" w:cs="楷体_GB2312"/>
          <w:b/>
          <w:bCs w:val="0"/>
          <w:sz w:val="32"/>
          <w:szCs w:val="32"/>
        </w:rPr>
      </w:pPr>
      <w:r>
        <w:rPr>
          <w:rFonts w:hint="eastAsia" w:ascii="楷体_GB2312" w:hAnsi="楷体_GB2312" w:eastAsia="楷体_GB2312" w:cs="楷体_GB2312"/>
          <w:b/>
          <w:bCs w:val="0"/>
          <w:sz w:val="32"/>
          <w:szCs w:val="32"/>
        </w:rPr>
        <w:t>1、收入说明</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反映本部门当年全部收入。2019年预算收入1627.42万元，其中：一般公共预算收入1627.42万元，基金预算收入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万元，财政专户核拨收入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万元，其他来源收入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p>
    <w:p>
      <w:pPr>
        <w:spacing w:line="584" w:lineRule="exact"/>
        <w:ind w:firstLine="64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2、支出说明</w:t>
      </w:r>
    </w:p>
    <w:p>
      <w:pPr>
        <w:ind w:firstLine="640"/>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收支预算总表支出栏、基本支出表、项目支出表按经济分类和支出功能分类科目编制，反映我部门2019年度部门预算中支出预算的总体情况。2019年支出预算1627.42万元，其中基本支出652.42万元，包括人员经费和日常公用经费；项目支出975万元，全部为本级支出，主要为</w:t>
      </w:r>
      <w:r>
        <w:rPr>
          <w:rFonts w:hint="eastAsia" w:ascii="仿宋_GB2312" w:hAnsi="仿宋_GB2312" w:eastAsia="仿宋_GB2312" w:cs="仿宋_GB2312"/>
          <w:bCs/>
          <w:sz w:val="32"/>
          <w:szCs w:val="32"/>
        </w:rPr>
        <w:t>大城县阿里巴巴农村淘宝运行经费、“9.26”农贸会议经费等。</w:t>
      </w:r>
    </w:p>
    <w:p>
      <w:pPr>
        <w:spacing w:line="584" w:lineRule="exact"/>
        <w:ind w:firstLine="64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3、比上年增减情况</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2019年预算收支安排1627.42万元，较2018年预算</w:t>
      </w:r>
      <w:r>
        <w:rPr>
          <w:rFonts w:hint="eastAsia" w:ascii="仿宋_GB2312" w:hAnsi="仿宋_GB2312" w:eastAsia="仿宋_GB2312" w:cs="仿宋_GB2312"/>
          <w:color w:val="000000"/>
          <w:sz w:val="32"/>
          <w:szCs w:val="32"/>
        </w:rPr>
        <w:t>增加151.52</w:t>
      </w:r>
      <w:r>
        <w:rPr>
          <w:rFonts w:hint="eastAsia" w:ascii="仿宋_GB2312" w:hAnsi="仿宋_GB2312" w:eastAsia="仿宋_GB2312" w:cs="仿宋_GB2312"/>
          <w:sz w:val="32"/>
          <w:szCs w:val="32"/>
        </w:rPr>
        <w:t>万元，其中：基本支出</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color w:val="000000"/>
          <w:sz w:val="32"/>
          <w:szCs w:val="32"/>
        </w:rPr>
        <w:t>8.8</w:t>
      </w:r>
      <w:r>
        <w:rPr>
          <w:rFonts w:hint="eastAsia" w:ascii="仿宋_GB2312" w:hAnsi="仿宋_GB2312" w:eastAsia="仿宋_GB2312" w:cs="仿宋_GB2312"/>
          <w:sz w:val="32"/>
          <w:szCs w:val="32"/>
        </w:rPr>
        <w:t>万元，主要为</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rPr>
        <w:t>人员经费支出；项目支出</w:t>
      </w:r>
      <w:r>
        <w:rPr>
          <w:rFonts w:hint="eastAsia" w:ascii="仿宋_GB2312" w:hAnsi="仿宋_GB2312" w:eastAsia="仿宋_GB2312" w:cs="仿宋_GB2312"/>
          <w:color w:val="000000"/>
          <w:sz w:val="32"/>
          <w:szCs w:val="32"/>
        </w:rPr>
        <w:t>增加142.72</w:t>
      </w:r>
      <w:r>
        <w:rPr>
          <w:rFonts w:hint="eastAsia" w:ascii="仿宋_GB2312" w:hAnsi="仿宋_GB2312" w:eastAsia="仿宋_GB2312" w:cs="仿宋_GB2312"/>
          <w:sz w:val="32"/>
          <w:szCs w:val="32"/>
        </w:rPr>
        <w:t>万元，主要为增加劳务派遣人员经费、机构改革经费项目支出。</w:t>
      </w:r>
    </w:p>
    <w:p>
      <w:pPr>
        <w:autoSpaceDE w:val="0"/>
        <w:autoSpaceDN w:val="0"/>
        <w:adjustRightInd w:val="0"/>
        <w:spacing w:line="584" w:lineRule="exact"/>
        <w:ind w:left="198" w:firstLine="640" w:firstLineChars="200"/>
        <w:jc w:val="left"/>
        <w:rPr>
          <w:rFonts w:ascii="Times New Roman" w:hAnsi="Times New Roman" w:eastAsia="黑体"/>
          <w:sz w:val="32"/>
          <w:szCs w:val="32"/>
        </w:rPr>
      </w:pPr>
      <w:r>
        <w:rPr>
          <w:rFonts w:hint="eastAsia" w:ascii="Times New Roman" w:hAnsi="黑体" w:eastAsia="黑体"/>
          <w:sz w:val="32"/>
          <w:szCs w:val="32"/>
        </w:rPr>
        <w:t>三、机关运行经费安排情况</w:t>
      </w:r>
    </w:p>
    <w:p>
      <w:pPr>
        <w:autoSpaceDE w:val="0"/>
        <w:autoSpaceDN w:val="0"/>
        <w:adjustRightInd w:val="0"/>
        <w:ind w:left="198"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2019年，我部门机关运行经费共计安排1477.22万元，主要用于办公区的日常维修、办公用房水电费、办公用房取暖费、公务用车运行维护费等日常运行支出。</w:t>
      </w:r>
    </w:p>
    <w:p>
      <w:pPr>
        <w:autoSpaceDE w:val="0"/>
        <w:autoSpaceDN w:val="0"/>
        <w:adjustRightInd w:val="0"/>
        <w:spacing w:line="584" w:lineRule="exact"/>
        <w:ind w:left="198" w:firstLine="640" w:firstLineChars="200"/>
        <w:jc w:val="left"/>
        <w:rPr>
          <w:rFonts w:ascii="Times New Roman" w:hAnsi="黑体" w:eastAsia="黑体"/>
          <w:sz w:val="32"/>
          <w:szCs w:val="32"/>
        </w:rPr>
      </w:pPr>
      <w:r>
        <w:rPr>
          <w:rFonts w:hint="eastAsia" w:ascii="Times New Roman" w:hAnsi="黑体" w:eastAsia="黑体"/>
          <w:sz w:val="32"/>
          <w:szCs w:val="32"/>
        </w:rPr>
        <w:t>四、财政拨款“三公”经费预算情况及增减变化原因</w:t>
      </w:r>
    </w:p>
    <w:p>
      <w:pPr>
        <w:autoSpaceDE w:val="0"/>
        <w:autoSpaceDN w:val="0"/>
        <w:adjustRightInd w:val="0"/>
        <w:ind w:left="198"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我部门财政拨款“三公”经费预算安排69.20万元，其中因公出国（境）费0万元；公务用车购置及运维费42.50万元（其中：公务用车购置费为0万元，公务用车运维费42.50万元)；公务接待费26.70万元。与2018年减少29.2万元，主要原因是公务用车改革后车辆减少，公务用车运维费减少。</w:t>
      </w:r>
    </w:p>
    <w:p>
      <w:pPr>
        <w:autoSpaceDE w:val="0"/>
        <w:autoSpaceDN w:val="0"/>
        <w:adjustRightInd w:val="0"/>
        <w:ind w:left="198"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因公出国（境）费与2018年持平，无增减变化；公务用车购置费与2018年持平，无增减变化；公务用车运行维护费减少46万元，减少原因是公务用车改革后车辆减少，公务用车运维费减少；公务接待费增加16.8万元，增加原因为公务接待调研增加。</w:t>
      </w:r>
    </w:p>
    <w:p>
      <w:pPr>
        <w:spacing w:line="584" w:lineRule="exact"/>
        <w:ind w:firstLine="640" w:firstLineChars="200"/>
        <w:rPr>
          <w:rFonts w:ascii="Times New Roman" w:hAnsi="Times New Roman" w:eastAsia="黑体"/>
          <w:sz w:val="32"/>
          <w:szCs w:val="32"/>
        </w:rPr>
      </w:pPr>
      <w:r>
        <w:rPr>
          <w:rFonts w:hint="eastAsia" w:ascii="Times New Roman" w:hAnsi="黑体" w:eastAsia="黑体"/>
          <w:sz w:val="32"/>
          <w:szCs w:val="32"/>
        </w:rPr>
        <w:t>五、绩效预算信息</w:t>
      </w:r>
    </w:p>
    <w:p>
      <w:pPr>
        <w:spacing w:line="584" w:lineRule="exact"/>
        <w:ind w:firstLine="643" w:firstLineChars="200"/>
        <w:jc w:val="left"/>
        <w:rPr>
          <w:rFonts w:ascii="Times New Roman" w:hAnsi="Times New Roman" w:eastAsia="楷体_GB2312"/>
          <w:b/>
          <w:sz w:val="32"/>
          <w:szCs w:val="32"/>
        </w:rPr>
      </w:pPr>
      <w:bookmarkStart w:id="0" w:name="_Toc471398463"/>
      <w:r>
        <w:rPr>
          <w:rFonts w:hint="eastAsia" w:ascii="Times New Roman" w:hAnsi="Times New Roman" w:eastAsia="楷体_GB2312"/>
          <w:b/>
          <w:sz w:val="32"/>
          <w:szCs w:val="32"/>
        </w:rPr>
        <w:t>总体绩效目标：</w:t>
      </w:r>
    </w:p>
    <w:p>
      <w:pPr>
        <w:spacing w:line="50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政务服务与政务管理：突出政务、加强事务管理，力求重点工作出精品。难点工作求突破、基础工作有创新、常规工作见特色。以机关干部工作作风为依据，增强工作综合服务实力。</w:t>
      </w:r>
    </w:p>
    <w:p>
      <w:pPr>
        <w:spacing w:line="50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应急管理：保障应急平台安全运行，有效保证应急突发事件应对处置，完善应急体系，有效组织应急演练，进一步提升应急工作水平。</w:t>
      </w:r>
    </w:p>
    <w:p>
      <w:pPr>
        <w:spacing w:line="500" w:lineRule="exact"/>
        <w:ind w:firstLine="560"/>
        <w:rPr>
          <w:rFonts w:hint="eastAsia" w:ascii="仿宋_GB2312" w:hAnsi="仿宋_GB2312" w:eastAsia="仿宋_GB2312" w:cs="仿宋_GB2312"/>
          <w:sz w:val="32"/>
          <w:szCs w:val="32"/>
        </w:rPr>
      </w:pPr>
    </w:p>
    <w:p>
      <w:pPr>
        <w:spacing w:line="50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政府电子政务：确保各类会议顺利进行，保障政府网络系统安全运行，严格保障服务流程和视频会议管理制度，切实提高技术保障能力和服务水平。</w:t>
      </w:r>
    </w:p>
    <w:p>
      <w:pPr>
        <w:spacing w:line="50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地方志事务管理：弘扬传统文化，充分发挥志书“资政、存史、教化”的综合功能，为社会各界提供方便快捷提供大城县情。</w:t>
      </w:r>
    </w:p>
    <w:p>
      <w:pPr>
        <w:spacing w:line="50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综合业务、事务管理：以服务领导和机关保障有力为目标，增强优质后勤管理水平，通过加强公车管理，降低运行成本，为创建节约型机关打下了良好的基础。采取保障县政府领导和机关工作办公环境的措施，提升服务管理水平，保障县领导和机关工作的正常运转。及时了解国内外形势、党和国家的方针政策以及上级重要部署和要求，及时为老干部提供优质高效服务。</w:t>
      </w:r>
    </w:p>
    <w:p>
      <w:pPr>
        <w:spacing w:line="50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民族宗教事务管理：加强民族和宗教事务管理工作，维护社会稳定。</w:t>
      </w:r>
    </w:p>
    <w:p>
      <w:pPr>
        <w:spacing w:line="50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能源事务管理：突出政务、加强事务管理，力求重点工作出精品。难点工作求突破、基础工作有创新、常规工作见特色。以机关干部工作作风为依据，增强工作综合服务实力。参与煤矿建设工程设计的初审，审查国有煤矿采矿权转让方案。依法整顿和规范煤炭生产秩序。审查、报批煤矿建筑物、水体、公路、铁路压煤开采方案设计。</w:t>
      </w:r>
    </w:p>
    <w:p>
      <w:pPr>
        <w:spacing w:line="584" w:lineRule="exact"/>
        <w:ind w:firstLine="560"/>
        <w:rPr>
          <w:rFonts w:ascii="Times New Roman" w:hAnsi="Times New Roman" w:eastAsia="楷体_GB2312"/>
          <w:b/>
          <w:sz w:val="32"/>
          <w:szCs w:val="32"/>
        </w:rPr>
      </w:pPr>
      <w:r>
        <w:rPr>
          <w:rFonts w:hint="eastAsia" w:ascii="Times New Roman" w:hAnsi="Times New Roman" w:eastAsia="楷体_GB2312"/>
          <w:b/>
          <w:sz w:val="32"/>
          <w:szCs w:val="32"/>
        </w:rPr>
        <w:t>部门职责及工作活动绩效目标指标：</w:t>
      </w:r>
    </w:p>
    <w:p>
      <w:pPr>
        <w:jc w:val="center"/>
        <w:outlineLvl w:val="0"/>
        <w:rPr>
          <w:rFonts w:ascii="方正小标宋_GBK" w:eastAsia="方正小标宋_GBK"/>
          <w:sz w:val="32"/>
        </w:rPr>
      </w:pPr>
      <w:bookmarkStart w:id="1" w:name="_Toc2077000"/>
    </w:p>
    <w:p>
      <w:pPr>
        <w:jc w:val="center"/>
        <w:outlineLvl w:val="0"/>
        <w:rPr>
          <w:rFonts w:ascii="方正小标宋_GBK" w:eastAsia="方正小标宋_GBK"/>
          <w:sz w:val="32"/>
        </w:rPr>
      </w:pPr>
    </w:p>
    <w:p>
      <w:pPr>
        <w:jc w:val="center"/>
        <w:outlineLvl w:val="0"/>
        <w:rPr>
          <w:rFonts w:ascii="方正小标宋_GBK" w:eastAsia="方正小标宋_GBK"/>
          <w:sz w:val="32"/>
        </w:rPr>
      </w:pPr>
    </w:p>
    <w:p>
      <w:pPr>
        <w:jc w:val="center"/>
        <w:outlineLvl w:val="0"/>
        <w:rPr>
          <w:rFonts w:ascii="方正小标宋_GBK" w:eastAsia="方正小标宋_GBK"/>
          <w:color w:val="FFFFFF"/>
          <w:sz w:val="32"/>
        </w:rPr>
      </w:pPr>
      <w:r>
        <w:rPr>
          <w:rFonts w:hint="eastAsia" w:ascii="方正小标宋_GBK" w:eastAsia="方正小标宋_GBK"/>
          <w:sz w:val="32"/>
        </w:rPr>
        <w:t>部门职责</w:t>
      </w:r>
      <w:r>
        <w:rPr>
          <w:rFonts w:ascii="方正小标宋_GBK" w:eastAsia="方正小标宋_GBK"/>
          <w:sz w:val="32"/>
        </w:rPr>
        <w:t>-</w:t>
      </w:r>
      <w:r>
        <w:rPr>
          <w:rFonts w:hint="eastAsia" w:ascii="方正小标宋_GBK" w:eastAsia="方正小标宋_GBK"/>
          <w:sz w:val="32"/>
        </w:rPr>
        <w:t>工作活动绩效目标</w:t>
      </w:r>
      <w:r>
        <w:rPr>
          <w:rStyle w:val="11"/>
          <w:rFonts w:hint="eastAsia" w:ascii="方正小标宋_GBK" w:hAnsi="Symbol" w:eastAsia="方正小标宋_GBK"/>
          <w:color w:val="FFFFFF"/>
          <w:sz w:val="32"/>
          <w:szCs w:val="32"/>
        </w:rPr>
        <w:footnoteReference w:id="0" w:customMarkFollows="1"/>
        <w:sym w:font="Symbol" w:char="F020"/>
      </w:r>
      <w:bookmarkEnd w:id="1"/>
    </w:p>
    <w:tbl>
      <w:tblPr>
        <w:tblStyle w:val="8"/>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vAlign w:val="center"/>
          </w:tcPr>
          <w:p>
            <w:pPr>
              <w:spacing w:line="300" w:lineRule="exact"/>
              <w:jc w:val="left"/>
              <w:rPr>
                <w:rFonts w:ascii="方正小标宋_GBK" w:eastAsia="方正小标宋_GBK"/>
                <w:sz w:val="24"/>
              </w:rPr>
            </w:pPr>
            <w:r>
              <w:rPr>
                <w:rFonts w:ascii="方正小标宋_GBK" w:eastAsia="方正小标宋_GBK"/>
                <w:sz w:val="24"/>
              </w:rPr>
              <w:t>434</w:t>
            </w:r>
            <w:r>
              <w:rPr>
                <w:rFonts w:hint="eastAsia" w:ascii="方正小标宋_GBK" w:eastAsia="方正小标宋_GBK"/>
                <w:sz w:val="24"/>
              </w:rPr>
              <w:t>大城县人民政府办公室</w:t>
            </w:r>
          </w:p>
        </w:tc>
        <w:tc>
          <w:tcPr>
            <w:tcW w:w="2948" w:type="dxa"/>
            <w:gridSpan w:val="4"/>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restart"/>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976" w:type="dxa"/>
            <w:vMerge w:val="restart"/>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vMerge w:val="restart"/>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948" w:type="dxa"/>
            <w:gridSpan w:val="4"/>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continue"/>
            <w:vAlign w:val="center"/>
          </w:tcPr>
          <w:p>
            <w:pPr>
              <w:spacing w:line="300" w:lineRule="exact"/>
              <w:jc w:val="left"/>
              <w:outlineLvl w:val="0"/>
            </w:pPr>
          </w:p>
        </w:tc>
        <w:tc>
          <w:tcPr>
            <w:tcW w:w="1276" w:type="dxa"/>
            <w:vMerge w:val="continue"/>
            <w:vAlign w:val="center"/>
          </w:tcPr>
          <w:p>
            <w:pPr>
              <w:spacing w:line="300" w:lineRule="exact"/>
              <w:jc w:val="left"/>
              <w:outlineLvl w:val="0"/>
            </w:pPr>
          </w:p>
        </w:tc>
        <w:tc>
          <w:tcPr>
            <w:tcW w:w="2976" w:type="dxa"/>
            <w:vMerge w:val="continue"/>
            <w:vAlign w:val="center"/>
          </w:tcPr>
          <w:p>
            <w:pPr>
              <w:spacing w:line="300" w:lineRule="exact"/>
              <w:jc w:val="left"/>
              <w:outlineLvl w:val="0"/>
            </w:pPr>
          </w:p>
        </w:tc>
        <w:tc>
          <w:tcPr>
            <w:tcW w:w="2976" w:type="dxa"/>
            <w:vMerge w:val="continue"/>
            <w:vAlign w:val="center"/>
          </w:tcPr>
          <w:p>
            <w:pPr>
              <w:spacing w:line="300" w:lineRule="exact"/>
              <w:jc w:val="left"/>
              <w:outlineLvl w:val="0"/>
            </w:pPr>
          </w:p>
        </w:tc>
        <w:tc>
          <w:tcPr>
            <w:tcW w:w="1417" w:type="dxa"/>
            <w:vMerge w:val="continue"/>
            <w:vAlign w:val="center"/>
          </w:tcPr>
          <w:p>
            <w:pPr>
              <w:spacing w:line="300" w:lineRule="exact"/>
              <w:jc w:val="left"/>
              <w:outlineLvl w:val="0"/>
            </w:pP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一、政务服务与政务管理</w:t>
            </w:r>
          </w:p>
        </w:tc>
        <w:tc>
          <w:tcPr>
            <w:tcW w:w="1276" w:type="dxa"/>
            <w:vAlign w:val="center"/>
          </w:tcPr>
          <w:p>
            <w:pPr>
              <w:spacing w:line="300" w:lineRule="exact"/>
              <w:jc w:val="left"/>
              <w:rPr>
                <w:rFonts w:ascii="方正书宋_GBK" w:eastAsia="方正书宋_GBK"/>
              </w:rPr>
            </w:pPr>
            <w:r>
              <w:rPr>
                <w:rFonts w:ascii="方正书宋_GBK" w:eastAsia="方正书宋_GBK"/>
              </w:rPr>
              <w:t>323.40</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政务公开、县政府大型会议管理、政务督查督办、打击走私事务、政务联络工作。</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突出政务、加强事务管理，力求重点工作出精品。难点工作求突破、基础工作有创新、常规工作见特色。以机关干部工作作风为依据，增强工作综合服务实力。</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、政务公开、会议管理、督查督办、打私事务、政务联络。</w:t>
            </w:r>
          </w:p>
        </w:tc>
        <w:tc>
          <w:tcPr>
            <w:tcW w:w="1276" w:type="dxa"/>
            <w:vMerge w:val="restart"/>
            <w:vAlign w:val="center"/>
          </w:tcPr>
          <w:p>
            <w:pPr>
              <w:spacing w:line="300" w:lineRule="exact"/>
              <w:jc w:val="left"/>
              <w:rPr>
                <w:rFonts w:ascii="方正书宋_GBK" w:eastAsia="方正书宋_GBK"/>
              </w:rPr>
            </w:pPr>
            <w:r>
              <w:rPr>
                <w:rFonts w:ascii="方正书宋_GBK" w:eastAsia="方正书宋_GBK"/>
              </w:rPr>
              <w:t>323.40</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不断提高信息公开工作业务水平；协助县领导组织会议决定事项的落实；督办重大决策落实；协调组织打私事务，增大打私力度；做好县际间政务往来与经济交流工作，负责县级领导公务活动的接待安排。</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提升政务公开服务水平。承办大型会议，有效推动全县经济发展，保障重大决策落实，积极贯彻工作</w:t>
            </w:r>
            <w:r>
              <w:rPr>
                <w:rFonts w:hint="eastAsia" w:ascii="方正书宋_GBK" w:eastAsia="方正书宋_GBK"/>
                <w:lang w:eastAsia="zh-CN"/>
              </w:rPr>
              <w:t>部</w:t>
            </w:r>
            <w:r>
              <w:rPr>
                <w:rFonts w:hint="eastAsia" w:ascii="方正书宋_GBK" w:eastAsia="方正书宋_GBK"/>
              </w:rPr>
              <w:t>署，创新工作机制，提升服务水平。围绕我县中心工作，有效促进对外经贸协作和外地高科技项目合作。</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检查信息公开履行职责（次）</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1.5</w:t>
            </w:r>
          </w:p>
        </w:tc>
        <w:tc>
          <w:tcPr>
            <w:tcW w:w="737" w:type="dxa"/>
            <w:vAlign w:val="center"/>
          </w:tcPr>
          <w:p>
            <w:pPr>
              <w:spacing w:line="300" w:lineRule="exact"/>
              <w:jc w:val="center"/>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政务信息公开培训任务完成率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r>
              <w:rPr>
                <w:rFonts w:ascii="方正书宋_GBK" w:eastAsia="方正书宋_GBK"/>
              </w:rPr>
              <w:tab/>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r>
              <w:rPr>
                <w:rFonts w:ascii="方正书宋_GBK" w:eastAsia="方正书宋_GBK"/>
              </w:rPr>
              <w:tab/>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打私专项联合执法行动</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圆满完成</w:t>
            </w:r>
            <w:r>
              <w:rPr>
                <w:rFonts w:ascii="方正书宋_GBK" w:eastAsia="方正书宋_GBK"/>
              </w:rPr>
              <w:tab/>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较好完成</w:t>
            </w:r>
            <w:r>
              <w:rPr>
                <w:rFonts w:ascii="方正书宋_GBK" w:eastAsia="方正书宋_GBK"/>
              </w:rPr>
              <w:tab/>
            </w:r>
            <w:r>
              <w:rPr>
                <w:rFonts w:ascii="方正书宋_GBK" w:eastAsia="方正书宋_GBK"/>
              </w:rPr>
              <w:tab/>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部分完成</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没完成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承办大型会议次数</w:t>
            </w: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事项督查反馈率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r>
              <w:rPr>
                <w:rFonts w:ascii="方正书宋_GBK" w:eastAsia="方正书宋_GBK"/>
              </w:rPr>
              <w:tab/>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组织对外联络（次）</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w:t>
            </w:r>
          </w:p>
        </w:tc>
        <w:tc>
          <w:tcPr>
            <w:tcW w:w="737" w:type="dxa"/>
            <w:vAlign w:val="center"/>
          </w:tcPr>
          <w:p>
            <w:pPr>
              <w:spacing w:line="300" w:lineRule="exact"/>
              <w:jc w:val="center"/>
              <w:rPr>
                <w:rFonts w:ascii="方正书宋_GBK" w:eastAsia="方正书宋_GBK"/>
              </w:rPr>
            </w:pPr>
            <w:r>
              <w:rPr>
                <w:rFonts w:ascii="方正书宋_GBK" w:eastAsia="方正书宋_GBK"/>
              </w:rPr>
              <w:t>2</w:t>
            </w:r>
          </w:p>
        </w:tc>
        <w:tc>
          <w:tcPr>
            <w:tcW w:w="737" w:type="dxa"/>
            <w:vAlign w:val="center"/>
          </w:tcPr>
          <w:p>
            <w:pPr>
              <w:spacing w:line="300" w:lineRule="exact"/>
              <w:jc w:val="center"/>
              <w:rPr>
                <w:rFonts w:ascii="方正书宋_GBK" w:eastAsia="方正书宋_GBK"/>
              </w:rPr>
            </w:pPr>
            <w:r>
              <w:rPr>
                <w:rFonts w:ascii="方正书宋_GBK" w:eastAsia="方正书宋_GBK"/>
              </w:rPr>
              <w:t>1</w:t>
            </w:r>
          </w:p>
        </w:tc>
        <w:tc>
          <w:tcPr>
            <w:tcW w:w="737" w:type="dxa"/>
            <w:vAlign w:val="center"/>
          </w:tcPr>
          <w:p>
            <w:pPr>
              <w:spacing w:line="300" w:lineRule="exact"/>
              <w:jc w:val="center"/>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对外联络服务满意度</w:t>
            </w:r>
          </w:p>
        </w:tc>
        <w:tc>
          <w:tcPr>
            <w:tcW w:w="737" w:type="dxa"/>
            <w:vAlign w:val="center"/>
          </w:tcPr>
          <w:p>
            <w:pPr>
              <w:spacing w:line="300" w:lineRule="exact"/>
              <w:jc w:val="center"/>
              <w:rPr>
                <w:rFonts w:ascii="方正书宋_GBK" w:eastAsia="方正书宋_GBK"/>
              </w:rPr>
            </w:pPr>
            <w:r>
              <w:rPr>
                <w:rFonts w:ascii="方正书宋_GBK" w:eastAsia="方正书宋_GBK"/>
              </w:rPr>
              <w:t>100%</w:t>
            </w:r>
            <w:r>
              <w:rPr>
                <w:rFonts w:ascii="方正书宋_GBK" w:eastAsia="方正书宋_GBK"/>
              </w:rPr>
              <w:tab/>
            </w:r>
            <w:r>
              <w:rPr>
                <w:rFonts w:ascii="方正书宋_GBK" w:eastAsia="方正书宋_GBK"/>
              </w:rPr>
              <w:tab/>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离退领导满意程度</w:t>
            </w:r>
          </w:p>
        </w:tc>
        <w:tc>
          <w:tcPr>
            <w:tcW w:w="737" w:type="dxa"/>
            <w:vAlign w:val="center"/>
          </w:tcPr>
          <w:p>
            <w:pPr>
              <w:spacing w:line="300" w:lineRule="exact"/>
              <w:jc w:val="center"/>
              <w:rPr>
                <w:rFonts w:ascii="方正书宋_GBK" w:eastAsia="方正书宋_GBK"/>
              </w:rPr>
            </w:pPr>
            <w:r>
              <w:rPr>
                <w:rFonts w:ascii="方正书宋_GBK" w:eastAsia="方正书宋_GBK"/>
              </w:rPr>
              <w:t>100%</w:t>
            </w:r>
            <w:r>
              <w:rPr>
                <w:rFonts w:ascii="方正书宋_GBK" w:eastAsia="方正书宋_GBK"/>
              </w:rPr>
              <w:tab/>
            </w:r>
            <w:r>
              <w:rPr>
                <w:rFonts w:ascii="方正书宋_GBK" w:eastAsia="方正书宋_GBK"/>
              </w:rPr>
              <w:tab/>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督查督办落实任务完成率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二、应急管理</w:t>
            </w:r>
          </w:p>
        </w:tc>
        <w:tc>
          <w:tcPr>
            <w:tcW w:w="1276" w:type="dxa"/>
            <w:vAlign w:val="center"/>
          </w:tcPr>
          <w:p>
            <w:pPr>
              <w:spacing w:line="300" w:lineRule="exact"/>
              <w:jc w:val="left"/>
              <w:rPr>
                <w:rFonts w:ascii="方正书宋_GBK" w:eastAsia="方正书宋_GBK"/>
              </w:rPr>
            </w:pPr>
            <w:r>
              <w:rPr>
                <w:rFonts w:ascii="方正书宋_GBK" w:eastAsia="方正书宋_GBK"/>
              </w:rPr>
              <w:t>23.00</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负责县政府值班工作，及时报告重大情况，协助县领导组织处理突发事件。</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保障应急平台安全运行，有效保证应急突发事件应对处置，完善应急体系，有效组织应急演练，进一步提升应急工作水平。</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、应急管理</w:t>
            </w:r>
          </w:p>
        </w:tc>
        <w:tc>
          <w:tcPr>
            <w:tcW w:w="1276" w:type="dxa"/>
            <w:vMerge w:val="restart"/>
            <w:vAlign w:val="center"/>
          </w:tcPr>
          <w:p>
            <w:pPr>
              <w:spacing w:line="300" w:lineRule="exact"/>
              <w:jc w:val="left"/>
              <w:rPr>
                <w:rFonts w:ascii="方正书宋_GBK" w:eastAsia="方正书宋_GBK"/>
              </w:rPr>
            </w:pPr>
            <w:r>
              <w:rPr>
                <w:rFonts w:ascii="方正书宋_GBK" w:eastAsia="方正书宋_GBK"/>
              </w:rPr>
              <w:t>23.00</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县政府值班工作，及时报告重要情况，传达和落实县领导重要指示，协助县领导完成组织处理突发事件应急处置工作。</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建设运行维护平台数据，为有效保障全县突发事件提供技术保障，确保快速、有效处置突发事件，提高事件应对实效。</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应急事件处置情况</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98%</w:t>
            </w:r>
            <w:r>
              <w:rPr>
                <w:rFonts w:ascii="方正书宋_GBK" w:eastAsia="方正书宋_GBK"/>
              </w:rPr>
              <w:tab/>
            </w:r>
            <w:r>
              <w:rPr>
                <w:rFonts w:ascii="方正书宋_GBK" w:eastAsia="方正书宋_GBK"/>
              </w:rPr>
              <w:tab/>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系统全年累计故障时长（小时）</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48</w:t>
            </w:r>
            <w:r>
              <w:rPr>
                <w:rFonts w:ascii="方正书宋_GBK" w:eastAsia="方正书宋_GBK"/>
              </w:rPr>
              <w:tab/>
            </w:r>
            <w:r>
              <w:rPr>
                <w:rFonts w:ascii="方正书宋_GBK" w:eastAsia="方正书宋_GBK"/>
              </w:rPr>
              <w:tab/>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96</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192</w:t>
            </w:r>
            <w:r>
              <w:rPr>
                <w:rFonts w:ascii="方正书宋_GBK" w:eastAsia="方正书宋_GBK"/>
              </w:rPr>
              <w:tab/>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三、政府电子政务</w:t>
            </w:r>
          </w:p>
        </w:tc>
        <w:tc>
          <w:tcPr>
            <w:tcW w:w="1276" w:type="dxa"/>
            <w:vAlign w:val="center"/>
          </w:tcPr>
          <w:p>
            <w:pPr>
              <w:spacing w:line="300" w:lineRule="exact"/>
              <w:jc w:val="left"/>
              <w:rPr>
                <w:rFonts w:ascii="方正书宋_GBK" w:eastAsia="方正书宋_GBK"/>
              </w:rPr>
            </w:pPr>
            <w:r>
              <w:rPr>
                <w:rFonts w:ascii="方正书宋_GBK" w:eastAsia="方正书宋_GBK"/>
              </w:rPr>
              <w:t>179.70</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政务信息工作和机关电子政务工作</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确保各类会议顺利进行，保障政府网络系统安全运行，严格保障服务流程和视频会议管理制度，切实提高技术保障能力和服务水平。</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、政府电子政务管理与服务</w:t>
            </w:r>
          </w:p>
        </w:tc>
        <w:tc>
          <w:tcPr>
            <w:tcW w:w="1276" w:type="dxa"/>
            <w:vMerge w:val="restart"/>
            <w:vAlign w:val="center"/>
          </w:tcPr>
          <w:p>
            <w:pPr>
              <w:spacing w:line="300" w:lineRule="exact"/>
              <w:jc w:val="left"/>
              <w:rPr>
                <w:rFonts w:ascii="方正书宋_GBK" w:eastAsia="方正书宋_GBK"/>
              </w:rPr>
            </w:pPr>
            <w:r>
              <w:rPr>
                <w:rFonts w:ascii="方正书宋_GBK" w:eastAsia="方正书宋_GBK"/>
              </w:rPr>
              <w:t>179.70</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政务信息工作和机关电子政务工作</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确保各类会议顺利进行，保障政府网络安全运行，严格保障服务流程和视频会议管理制度，切实提高技术保障能力和服务水平。</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会议保障率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r>
              <w:rPr>
                <w:rFonts w:ascii="方正书宋_GBK" w:eastAsia="方正书宋_GBK"/>
              </w:rPr>
              <w:tab/>
            </w:r>
            <w:r>
              <w:rPr>
                <w:rFonts w:ascii="方正书宋_GBK" w:eastAsia="方正书宋_GBK"/>
              </w:rPr>
              <w:tab/>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网络系统升级</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r>
              <w:rPr>
                <w:rFonts w:ascii="方正书宋_GBK" w:eastAsia="方正书宋_GBK"/>
              </w:rPr>
              <w:tab/>
            </w:r>
            <w:r>
              <w:rPr>
                <w:rFonts w:ascii="方正书宋_GBK" w:eastAsia="方正书宋_GBK"/>
              </w:rPr>
              <w:tab/>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视频会议系统断点</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信号优良</w:t>
            </w:r>
            <w:r>
              <w:rPr>
                <w:rFonts w:ascii="方正书宋_GBK" w:eastAsia="方正书宋_GBK"/>
              </w:rPr>
              <w:tab/>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信号正常</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偶有断点</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不正常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四、地方志事务管理</w:t>
            </w:r>
          </w:p>
        </w:tc>
        <w:tc>
          <w:tcPr>
            <w:tcW w:w="1276" w:type="dxa"/>
            <w:vAlign w:val="center"/>
          </w:tcPr>
          <w:p>
            <w:pPr>
              <w:spacing w:line="300" w:lineRule="exact"/>
              <w:jc w:val="left"/>
              <w:rPr>
                <w:rFonts w:ascii="方正书宋_GBK" w:eastAsia="方正书宋_GBK"/>
              </w:rPr>
            </w:pPr>
            <w:r>
              <w:rPr>
                <w:rFonts w:ascii="方正书宋_GBK" w:eastAsia="方正书宋_GBK"/>
              </w:rPr>
              <w:t>34.30</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全县地方志事务管理</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弘扬传统文化，充分发挥志书</w:t>
            </w:r>
            <w:r>
              <w:rPr>
                <w:rFonts w:ascii="方正书宋_GBK" w:eastAsia="方正书宋_GBK"/>
              </w:rPr>
              <w:t>“</w:t>
            </w:r>
            <w:r>
              <w:rPr>
                <w:rFonts w:hint="eastAsia" w:ascii="方正书宋_GBK" w:eastAsia="方正书宋_GBK"/>
              </w:rPr>
              <w:t>资政、存史、教化</w:t>
            </w:r>
            <w:r>
              <w:rPr>
                <w:rFonts w:ascii="方正书宋_GBK" w:eastAsia="方正书宋_GBK"/>
              </w:rPr>
              <w:t>”</w:t>
            </w:r>
            <w:r>
              <w:rPr>
                <w:rFonts w:hint="eastAsia" w:ascii="方正书宋_GBK" w:eastAsia="方正书宋_GBK"/>
              </w:rPr>
              <w:t>的综合功能，为社会各界提供方便快捷提供</w:t>
            </w:r>
            <w:r>
              <w:rPr>
                <w:rFonts w:ascii="方正书宋_GBK" w:eastAsia="方正书宋_GBK"/>
              </w:rPr>
              <w:t>XX</w:t>
            </w:r>
            <w:r>
              <w:rPr>
                <w:rFonts w:hint="eastAsia" w:ascii="方正书宋_GBK" w:eastAsia="方正书宋_GBK"/>
              </w:rPr>
              <w:t>县情。</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、地方志事务管理</w:t>
            </w:r>
          </w:p>
        </w:tc>
        <w:tc>
          <w:tcPr>
            <w:tcW w:w="1276" w:type="dxa"/>
            <w:vMerge w:val="restart"/>
            <w:vAlign w:val="center"/>
          </w:tcPr>
          <w:p>
            <w:pPr>
              <w:spacing w:line="300" w:lineRule="exact"/>
              <w:jc w:val="left"/>
              <w:rPr>
                <w:rFonts w:ascii="方正书宋_GBK" w:eastAsia="方正书宋_GBK"/>
              </w:rPr>
            </w:pPr>
            <w:r>
              <w:rPr>
                <w:rFonts w:ascii="方正书宋_GBK" w:eastAsia="方正书宋_GBK"/>
              </w:rPr>
              <w:t>34.30</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拟订全县地方志工作规划并实施；组织整理旧书，搜集、保存、管理地方文献和资料；组织推动地方志理论研究和学术交流；承办县政府和上级业务部门交办的其他工作。</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传承优秀文化传统，充分发挥志书</w:t>
            </w:r>
            <w:r>
              <w:rPr>
                <w:rFonts w:ascii="方正书宋_GBK" w:eastAsia="方正书宋_GBK"/>
              </w:rPr>
              <w:t>“</w:t>
            </w:r>
            <w:r>
              <w:rPr>
                <w:rFonts w:hint="eastAsia" w:ascii="方正书宋_GBK" w:eastAsia="方正书宋_GBK"/>
              </w:rPr>
              <w:t>资政、存史、教化</w:t>
            </w:r>
            <w:r>
              <w:rPr>
                <w:rFonts w:ascii="方正书宋_GBK" w:eastAsia="方正书宋_GBK"/>
              </w:rPr>
              <w:t>”</w:t>
            </w:r>
            <w:r>
              <w:rPr>
                <w:rFonts w:hint="eastAsia" w:ascii="方正书宋_GBK" w:eastAsia="方正书宋_GBK"/>
              </w:rPr>
              <w:t>的综合功能，为社会各界方便快捷提供</w:t>
            </w:r>
            <w:r>
              <w:rPr>
                <w:rFonts w:ascii="方正书宋_GBK" w:eastAsia="方正书宋_GBK"/>
              </w:rPr>
              <w:t>XX</w:t>
            </w:r>
            <w:r>
              <w:rPr>
                <w:rFonts w:hint="eastAsia" w:ascii="方正书宋_GBK" w:eastAsia="方正书宋_GBK"/>
              </w:rPr>
              <w:t>县情，为县域经济社会建设服务，为地方志工作者提供资料和工具。</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内容、编校、设计、印刷差错率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0.1‰</w:t>
            </w:r>
            <w:r>
              <w:rPr>
                <w:rFonts w:ascii="方正书宋_GBK" w:eastAsia="方正书宋_GBK"/>
              </w:rPr>
              <w:tab/>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0.2‰</w:t>
            </w:r>
            <w:r>
              <w:rPr>
                <w:rFonts w:ascii="方正书宋_GBK" w:eastAsia="方正书宋_GBK"/>
              </w:rPr>
              <w:tab/>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0.5‰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培训修志队伍</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w:t>
            </w:r>
            <w:r>
              <w:rPr>
                <w:rFonts w:ascii="方正书宋_GBK" w:eastAsia="方正书宋_GBK"/>
              </w:rPr>
              <w:tab/>
            </w:r>
          </w:p>
        </w:tc>
        <w:tc>
          <w:tcPr>
            <w:tcW w:w="737" w:type="dxa"/>
            <w:vAlign w:val="center"/>
          </w:tcPr>
          <w:p>
            <w:pPr>
              <w:spacing w:line="300" w:lineRule="exact"/>
              <w:jc w:val="center"/>
              <w:rPr>
                <w:rFonts w:ascii="方正书宋_GBK" w:eastAsia="方正书宋_GBK"/>
              </w:rPr>
            </w:pPr>
            <w:r>
              <w:rPr>
                <w:rFonts w:ascii="方正书宋_GBK" w:eastAsia="方正书宋_GBK"/>
              </w:rPr>
              <w:t>2</w:t>
            </w:r>
          </w:p>
        </w:tc>
        <w:tc>
          <w:tcPr>
            <w:tcW w:w="737" w:type="dxa"/>
            <w:vAlign w:val="center"/>
          </w:tcPr>
          <w:p>
            <w:pPr>
              <w:spacing w:line="300" w:lineRule="exact"/>
              <w:jc w:val="center"/>
              <w:rPr>
                <w:rFonts w:ascii="方正书宋_GBK" w:eastAsia="方正书宋_GBK"/>
              </w:rPr>
            </w:pPr>
            <w:r>
              <w:rPr>
                <w:rFonts w:ascii="方正书宋_GBK" w:eastAsia="方正书宋_GBK"/>
              </w:rPr>
              <w:t>1</w:t>
            </w:r>
          </w:p>
        </w:tc>
        <w:tc>
          <w:tcPr>
            <w:tcW w:w="737" w:type="dxa"/>
            <w:vAlign w:val="center"/>
          </w:tcPr>
          <w:p>
            <w:pPr>
              <w:spacing w:line="300" w:lineRule="exact"/>
              <w:jc w:val="center"/>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县级志书编纂任务完成率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100%</w:t>
            </w:r>
            <w:r>
              <w:rPr>
                <w:rFonts w:ascii="方正书宋_GBK" w:eastAsia="方正书宋_GBK"/>
              </w:rPr>
              <w:tab/>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r>
              <w:rPr>
                <w:rFonts w:ascii="方正书宋_GBK" w:eastAsia="方正书宋_GBK"/>
              </w:rPr>
              <w:tab/>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r>
              <w:rPr>
                <w:rFonts w:ascii="方正书宋_GBK" w:eastAsia="方正书宋_GBK"/>
              </w:rPr>
              <w:tab/>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五、综合业务、事务管理</w:t>
            </w:r>
          </w:p>
        </w:tc>
        <w:tc>
          <w:tcPr>
            <w:tcW w:w="1276" w:type="dxa"/>
            <w:vAlign w:val="center"/>
          </w:tcPr>
          <w:p>
            <w:pPr>
              <w:spacing w:line="300" w:lineRule="exact"/>
              <w:jc w:val="left"/>
              <w:rPr>
                <w:rFonts w:ascii="方正书宋_GBK" w:eastAsia="方正书宋_GBK"/>
              </w:rPr>
            </w:pPr>
            <w:r>
              <w:rPr>
                <w:rFonts w:ascii="方正书宋_GBK" w:eastAsia="方正书宋_GBK"/>
              </w:rPr>
              <w:t>339.60</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紧紧围绕县政府中心工作，积极协调县领导谋大事，解难事，不断提高参政水平，努力为领导提供服务层次和优质服务。</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以服务领导和机关保障有力为目标，增强优质后勤管理水平，通过加强公车管理，降低运行成本，为创建节约型机关打下了良好的基础。采取保障县政府领导和机关工作办公环境的措施，提升服务管理水平，保障县领导和机关工作的正常运转。及时了解国内外形势、党和国家的方针政策以及上级重要部署和要求，及时为老干部提供优质高效服务。</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、综合业务、事务管理</w:t>
            </w:r>
          </w:p>
        </w:tc>
        <w:tc>
          <w:tcPr>
            <w:tcW w:w="1276" w:type="dxa"/>
            <w:vMerge w:val="restart"/>
            <w:vAlign w:val="center"/>
          </w:tcPr>
          <w:p>
            <w:pPr>
              <w:spacing w:line="300" w:lineRule="exact"/>
              <w:jc w:val="left"/>
              <w:rPr>
                <w:rFonts w:ascii="方正书宋_GBK" w:eastAsia="方正书宋_GBK"/>
              </w:rPr>
            </w:pPr>
            <w:r>
              <w:rPr>
                <w:rFonts w:ascii="方正书宋_GBK" w:eastAsia="方正书宋_GBK"/>
              </w:rPr>
              <w:t>303.60</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协助县政府领导组织起草或审核以县政府、县政府办公室名义发布的公文；办理县政府各部门和乡镇报送的文电；对县政府部门间出现的争议问题提出处理意见；组织起草县政府领导重要讲话及其他重要文稿；组织专题调研；承办县政府领导交办的其他事项。</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采取保障县政府领导和机关工作办公环境的措施，提升了服务管理水平，保障了县领导和机关工作的正常运转。</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各项综合事务管理工作完成率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r>
              <w:rPr>
                <w:rFonts w:ascii="方正书宋_GBK" w:eastAsia="方正书宋_GBK"/>
              </w:rPr>
              <w:tab/>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各项综合业务管理工作完成率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r>
              <w:rPr>
                <w:rFonts w:ascii="方正书宋_GBK" w:eastAsia="方正书宋_GBK"/>
              </w:rPr>
              <w:tab/>
            </w:r>
            <w:r>
              <w:rPr>
                <w:rFonts w:ascii="方正书宋_GBK" w:eastAsia="方正书宋_GBK"/>
              </w:rPr>
              <w:tab/>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、组织推进依法行政</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承担县政府全面推进依法行政工作领导小组办公室日常工作，推进依法行政示范创建活动、相对集中行政处罚权工作；制定全县依法行政考核指标体系，组织依法行政考核工作。</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通过组织全县依法行政考核工作，进一步推动法治政府建设</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组织全县依法行政考核工作</w:t>
            </w:r>
          </w:p>
        </w:tc>
        <w:tc>
          <w:tcPr>
            <w:tcW w:w="737" w:type="dxa"/>
            <w:vAlign w:val="center"/>
          </w:tcPr>
          <w:p>
            <w:pPr>
              <w:spacing w:line="300" w:lineRule="exact"/>
              <w:jc w:val="center"/>
              <w:rPr>
                <w:rFonts w:ascii="方正书宋_GBK" w:eastAsia="方正书宋_GBK"/>
              </w:rPr>
            </w:pPr>
            <w:r>
              <w:rPr>
                <w:rFonts w:ascii="方正书宋_GBK" w:eastAsia="方正书宋_GBK"/>
              </w:rPr>
              <w:t>90%</w:t>
            </w:r>
            <w:r>
              <w:rPr>
                <w:rFonts w:ascii="方正书宋_GBK" w:eastAsia="方正书宋_GBK"/>
              </w:rPr>
              <w:tab/>
            </w:r>
          </w:p>
        </w:tc>
        <w:tc>
          <w:tcPr>
            <w:tcW w:w="737" w:type="dxa"/>
            <w:vAlign w:val="center"/>
          </w:tcPr>
          <w:p>
            <w:pPr>
              <w:spacing w:line="300" w:lineRule="exact"/>
              <w:jc w:val="center"/>
              <w:rPr>
                <w:rFonts w:ascii="方正书宋_GBK" w:eastAsia="方正书宋_GBK"/>
              </w:rPr>
            </w:pP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40%</w:t>
            </w:r>
          </w:p>
        </w:tc>
        <w:tc>
          <w:tcPr>
            <w:tcW w:w="737" w:type="dxa"/>
            <w:vAlign w:val="center"/>
          </w:tcPr>
          <w:p>
            <w:pPr>
              <w:spacing w:line="300" w:lineRule="exact"/>
              <w:jc w:val="center"/>
              <w:rPr>
                <w:rFonts w:ascii="方正书宋_GBK" w:eastAsia="方正书宋_GBK"/>
              </w:rPr>
            </w:pPr>
            <w:r>
              <w:rPr>
                <w:rFonts w:ascii="方正书宋_GBK" w:eastAsia="方正书宋_GBK"/>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、执法协调</w:t>
            </w:r>
          </w:p>
        </w:tc>
        <w:tc>
          <w:tcPr>
            <w:tcW w:w="1276" w:type="dxa"/>
            <w:vMerge w:val="restart"/>
            <w:vAlign w:val="center"/>
          </w:tcPr>
          <w:p>
            <w:pPr>
              <w:spacing w:line="300" w:lineRule="exact"/>
              <w:jc w:val="left"/>
              <w:rPr>
                <w:rFonts w:ascii="方正书宋_GBK" w:eastAsia="方正书宋_GBK"/>
              </w:rPr>
            </w:pP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协调部门之间的涉法矛盾和争议及其他事宜；组织执法监督检查，受理、查处行政违法行为的投诉举报加强对行政执法人员资格审查、年检考试、证件管理、培训，加强对执法行为的监督检查，审核行政执法主体资格，提高执法水平。</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通过协调部门间涉法矛盾争议，受理查处个案和群众举报，推进执法责任制、评议考核制、执法监督制度，组织全县执法监督检查工作，加强对行政执法人员资格、年检考试、培训和证件管理，审核执法主体资格，推进依法行政</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资格审查差错率</w:t>
            </w: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40%</w:t>
            </w:r>
          </w:p>
        </w:tc>
        <w:tc>
          <w:tcPr>
            <w:tcW w:w="737" w:type="dxa"/>
            <w:vAlign w:val="center"/>
          </w:tcPr>
          <w:p>
            <w:pPr>
              <w:spacing w:line="300" w:lineRule="exact"/>
              <w:jc w:val="center"/>
              <w:rPr>
                <w:rFonts w:ascii="方正书宋_GBK" w:eastAsia="方正书宋_GBK"/>
              </w:rPr>
            </w:pPr>
            <w:r>
              <w:rPr>
                <w:rFonts w:ascii="方正书宋_GBK" w:eastAsia="方正书宋_GBK"/>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受理个案反馈率</w:t>
            </w: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40%</w:t>
            </w:r>
          </w:p>
        </w:tc>
        <w:tc>
          <w:tcPr>
            <w:tcW w:w="737" w:type="dxa"/>
            <w:vAlign w:val="center"/>
          </w:tcPr>
          <w:p>
            <w:pPr>
              <w:spacing w:line="300" w:lineRule="exact"/>
              <w:jc w:val="center"/>
              <w:rPr>
                <w:rFonts w:ascii="方正书宋_GBK" w:eastAsia="方正书宋_GBK"/>
              </w:rPr>
            </w:pPr>
            <w:r>
              <w:rPr>
                <w:rFonts w:ascii="方正书宋_GBK" w:eastAsia="方正书宋_GBK"/>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部门矛盾协调结果县政府认可率</w:t>
            </w: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40%</w:t>
            </w:r>
          </w:p>
        </w:tc>
        <w:tc>
          <w:tcPr>
            <w:tcW w:w="737" w:type="dxa"/>
            <w:vAlign w:val="center"/>
          </w:tcPr>
          <w:p>
            <w:pPr>
              <w:spacing w:line="300" w:lineRule="exact"/>
              <w:jc w:val="center"/>
              <w:rPr>
                <w:rFonts w:ascii="方正书宋_GBK" w:eastAsia="方正书宋_GBK"/>
              </w:rPr>
            </w:pPr>
            <w:r>
              <w:rPr>
                <w:rFonts w:ascii="方正书宋_GBK" w:eastAsia="方正书宋_GBK"/>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4</w:t>
            </w:r>
            <w:r>
              <w:rPr>
                <w:rFonts w:hint="eastAsia" w:ascii="方正书宋_GBK" w:eastAsia="方正书宋_GBK"/>
                <w:b/>
              </w:rPr>
              <w:t>、行政复议</w:t>
            </w:r>
          </w:p>
        </w:tc>
        <w:tc>
          <w:tcPr>
            <w:tcW w:w="1276" w:type="dxa"/>
            <w:vMerge w:val="restart"/>
            <w:vAlign w:val="center"/>
          </w:tcPr>
          <w:p>
            <w:pPr>
              <w:spacing w:line="300" w:lineRule="exact"/>
              <w:jc w:val="left"/>
              <w:rPr>
                <w:rFonts w:ascii="方正书宋_GBK" w:eastAsia="方正书宋_GBK"/>
              </w:rPr>
            </w:pPr>
            <w:r>
              <w:rPr>
                <w:rFonts w:ascii="方正书宋_GBK" w:eastAsia="方正书宋_GBK"/>
              </w:rPr>
              <w:t>1.00</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依法受理行政复议申请，履行行政复议法规定的各项职责；承办由县政府、县政府各部门、各乡镇行政行为引起的行政复议案件；受县政府委托，作好行政应诉工作；受县政府法人代表委托，代理由国务院审理的行政复议裁决案件；做好行政调解工作。</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通过依法受理并办理行政复议案件，办理行政诉讼、裁决案件，及时纠正各级行政机关违法不当行为，保障申请人合法权益，推动依法行政。</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案件调解率</w:t>
            </w: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40%</w:t>
            </w:r>
          </w:p>
        </w:tc>
        <w:tc>
          <w:tcPr>
            <w:tcW w:w="737" w:type="dxa"/>
            <w:vAlign w:val="center"/>
          </w:tcPr>
          <w:p>
            <w:pPr>
              <w:spacing w:line="300" w:lineRule="exact"/>
              <w:jc w:val="center"/>
              <w:rPr>
                <w:rFonts w:ascii="方正书宋_GBK" w:eastAsia="方正书宋_GBK"/>
              </w:rPr>
            </w:pPr>
            <w:r>
              <w:rPr>
                <w:rFonts w:ascii="方正书宋_GBK" w:eastAsia="方正书宋_GBK"/>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复议决定提起诉讼率</w:t>
            </w: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40%</w:t>
            </w:r>
          </w:p>
        </w:tc>
        <w:tc>
          <w:tcPr>
            <w:tcW w:w="737" w:type="dxa"/>
            <w:vAlign w:val="center"/>
          </w:tcPr>
          <w:p>
            <w:pPr>
              <w:spacing w:line="300" w:lineRule="exact"/>
              <w:jc w:val="center"/>
              <w:rPr>
                <w:rFonts w:ascii="方正书宋_GBK" w:eastAsia="方正书宋_GBK"/>
              </w:rPr>
            </w:pPr>
            <w:r>
              <w:rPr>
                <w:rFonts w:ascii="方正书宋_GBK" w:eastAsia="方正书宋_GBK"/>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应诉胜诉率</w:t>
            </w: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40%</w:t>
            </w:r>
          </w:p>
        </w:tc>
        <w:tc>
          <w:tcPr>
            <w:tcW w:w="737" w:type="dxa"/>
            <w:vAlign w:val="center"/>
          </w:tcPr>
          <w:p>
            <w:pPr>
              <w:spacing w:line="300" w:lineRule="exact"/>
              <w:jc w:val="center"/>
              <w:rPr>
                <w:rFonts w:ascii="方正书宋_GBK" w:eastAsia="方正书宋_GBK"/>
              </w:rPr>
            </w:pPr>
            <w:r>
              <w:rPr>
                <w:rFonts w:ascii="方正书宋_GBK" w:eastAsia="方正书宋_GBK"/>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5</w:t>
            </w:r>
            <w:r>
              <w:rPr>
                <w:rFonts w:hint="eastAsia" w:ascii="方正书宋_GBK" w:eastAsia="方正书宋_GBK"/>
                <w:b/>
              </w:rPr>
              <w:t>、政府法制宣传教育</w:t>
            </w:r>
          </w:p>
        </w:tc>
        <w:tc>
          <w:tcPr>
            <w:tcW w:w="1276" w:type="dxa"/>
            <w:vAlign w:val="center"/>
          </w:tcPr>
          <w:p>
            <w:pPr>
              <w:spacing w:line="300" w:lineRule="exact"/>
              <w:jc w:val="left"/>
              <w:rPr>
                <w:rFonts w:ascii="方正书宋_GBK" w:eastAsia="方正书宋_GBK"/>
              </w:rPr>
            </w:pPr>
            <w:r>
              <w:rPr>
                <w:rFonts w:ascii="方正书宋_GBK" w:eastAsia="方正书宋_GBK"/>
              </w:rPr>
              <w:t>6.00</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负责落实领导干部学法制度有关工作。对县政府法制信息网站运行、维护，对行政执法人员和执法依据数据库维护管理。宣传依法行政的法律知识；执法人员法律知识培训。</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做好法制宣传网站、政府法治刊物等工作，为依法行政创造良好的法律氛围和舆论环境。执法人员法律知识培训。</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参加培训人员比例</w:t>
            </w:r>
          </w:p>
        </w:tc>
        <w:tc>
          <w:tcPr>
            <w:tcW w:w="737" w:type="dxa"/>
            <w:vAlign w:val="center"/>
          </w:tcPr>
          <w:p>
            <w:pPr>
              <w:spacing w:line="300" w:lineRule="exact"/>
              <w:jc w:val="center"/>
              <w:rPr>
                <w:rFonts w:ascii="方正书宋_GBK" w:eastAsia="方正书宋_GBK"/>
              </w:rPr>
            </w:pPr>
            <w:r>
              <w:rPr>
                <w:rFonts w:ascii="方正书宋_GBK" w:eastAsia="方正书宋_GBK"/>
              </w:rPr>
              <w:t>90%</w:t>
            </w:r>
            <w:r>
              <w:rPr>
                <w:rFonts w:hint="eastAsia" w:ascii="方正书宋_GBK" w:eastAsia="方正书宋_GBK"/>
              </w:rPr>
              <w:t>以上</w:t>
            </w:r>
          </w:p>
        </w:tc>
        <w:tc>
          <w:tcPr>
            <w:tcW w:w="737" w:type="dxa"/>
            <w:vAlign w:val="center"/>
          </w:tcPr>
          <w:p>
            <w:pPr>
              <w:spacing w:line="300" w:lineRule="exact"/>
              <w:jc w:val="center"/>
              <w:rPr>
                <w:rFonts w:ascii="方正书宋_GBK" w:eastAsia="方正书宋_GBK"/>
              </w:rPr>
            </w:pP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40%</w:t>
            </w:r>
          </w:p>
        </w:tc>
        <w:tc>
          <w:tcPr>
            <w:tcW w:w="737" w:type="dxa"/>
            <w:vAlign w:val="center"/>
          </w:tcPr>
          <w:p>
            <w:pPr>
              <w:spacing w:line="300" w:lineRule="exact"/>
              <w:jc w:val="center"/>
              <w:rPr>
                <w:rFonts w:ascii="方正书宋_GBK" w:eastAsia="方正书宋_GBK"/>
              </w:rPr>
            </w:pPr>
            <w:r>
              <w:rPr>
                <w:rFonts w:ascii="方正书宋_GBK" w:eastAsia="方正书宋_GBK"/>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6</w:t>
            </w:r>
            <w:r>
              <w:rPr>
                <w:rFonts w:hint="eastAsia" w:ascii="方正书宋_GBK" w:eastAsia="方正书宋_GBK"/>
                <w:b/>
              </w:rPr>
              <w:t>、政府法制综合业务管理</w:t>
            </w:r>
          </w:p>
        </w:tc>
        <w:tc>
          <w:tcPr>
            <w:tcW w:w="1276" w:type="dxa"/>
            <w:vAlign w:val="center"/>
          </w:tcPr>
          <w:p>
            <w:pPr>
              <w:spacing w:line="300" w:lineRule="exact"/>
              <w:jc w:val="left"/>
              <w:rPr>
                <w:rFonts w:ascii="方正书宋_GBK" w:eastAsia="方正书宋_GBK"/>
              </w:rPr>
            </w:pPr>
            <w:r>
              <w:rPr>
                <w:rFonts w:ascii="方正书宋_GBK" w:eastAsia="方正书宋_GBK"/>
              </w:rPr>
              <w:t>12.00</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开展对外法制业务交流。</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各类政府法制业务工作谋划到位、开展有序，推进政府法制建设。</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政府法制业务工作保障率</w:t>
            </w: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40%</w:t>
            </w:r>
          </w:p>
        </w:tc>
        <w:tc>
          <w:tcPr>
            <w:tcW w:w="737" w:type="dxa"/>
            <w:vAlign w:val="center"/>
          </w:tcPr>
          <w:p>
            <w:pPr>
              <w:spacing w:line="300" w:lineRule="exact"/>
              <w:jc w:val="center"/>
              <w:rPr>
                <w:rFonts w:ascii="方正书宋_GBK" w:eastAsia="方正书宋_GBK"/>
              </w:rPr>
            </w:pPr>
            <w:r>
              <w:rPr>
                <w:rFonts w:ascii="方正书宋_GBK" w:eastAsia="方正书宋_GBK"/>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7</w:t>
            </w:r>
            <w:r>
              <w:rPr>
                <w:rFonts w:hint="eastAsia" w:ascii="方正书宋_GBK" w:eastAsia="方正书宋_GBK"/>
                <w:b/>
              </w:rPr>
              <w:t>、金融生态环境建设</w:t>
            </w:r>
          </w:p>
        </w:tc>
        <w:tc>
          <w:tcPr>
            <w:tcW w:w="1276" w:type="dxa"/>
            <w:vAlign w:val="center"/>
          </w:tcPr>
          <w:p>
            <w:pPr>
              <w:spacing w:line="300" w:lineRule="exact"/>
              <w:jc w:val="left"/>
              <w:rPr>
                <w:rFonts w:ascii="方正书宋_GBK" w:eastAsia="方正书宋_GBK"/>
              </w:rPr>
            </w:pPr>
            <w:r>
              <w:rPr>
                <w:rFonts w:ascii="方正书宋_GBK" w:eastAsia="方正书宋_GBK"/>
              </w:rPr>
              <w:t>15.00</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依法加强金融监管，整顿和规范金融市场秩序，协调非法集资、非法证券、非法保险等案件的查处、善后处置和维护金融稳定，指导全县金融生态环境和社会信用体系建设。</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严守不发生系统性、区域性金融风险的底线，净化金融市场，防止非法集资活动的蔓延，维护社会稳定。</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非法集资综治考评</w:t>
            </w: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40%</w:t>
            </w:r>
          </w:p>
        </w:tc>
        <w:tc>
          <w:tcPr>
            <w:tcW w:w="737" w:type="dxa"/>
            <w:vAlign w:val="center"/>
          </w:tcPr>
          <w:p>
            <w:pPr>
              <w:spacing w:line="300" w:lineRule="exact"/>
              <w:jc w:val="center"/>
              <w:rPr>
                <w:rFonts w:ascii="方正书宋_GBK" w:eastAsia="方正书宋_GBK"/>
              </w:rPr>
            </w:pPr>
            <w:r>
              <w:rPr>
                <w:rFonts w:ascii="方正书宋_GBK" w:eastAsia="方正书宋_GBK"/>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8</w:t>
            </w:r>
            <w:r>
              <w:rPr>
                <w:rFonts w:hint="eastAsia" w:ascii="方正书宋_GBK" w:eastAsia="方正书宋_GBK"/>
                <w:b/>
              </w:rPr>
              <w:t>、地方金融机构建设</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组织协调新设立的地方法人金融机构的谋划、申报等前期工作，指导新型农村金融机构组建和发展。</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推动联社按年度完成</w:t>
            </w:r>
            <w:r>
              <w:rPr>
                <w:rFonts w:ascii="方正书宋_GBK" w:eastAsia="方正书宋_GBK"/>
              </w:rPr>
              <w:t>“</w:t>
            </w:r>
            <w:r>
              <w:rPr>
                <w:rFonts w:hint="eastAsia" w:ascii="方正书宋_GBK" w:eastAsia="方正书宋_GBK"/>
              </w:rPr>
              <w:t>双改</w:t>
            </w:r>
            <w:r>
              <w:rPr>
                <w:rFonts w:ascii="方正书宋_GBK" w:eastAsia="方正书宋_GBK"/>
              </w:rPr>
              <w:t>”</w:t>
            </w:r>
            <w:r>
              <w:rPr>
                <w:rFonts w:hint="eastAsia" w:ascii="方正书宋_GBK" w:eastAsia="方正书宋_GBK"/>
              </w:rPr>
              <w:t>工作目标、高风险社化解工作目标</w:t>
            </w:r>
            <w:r>
              <w:rPr>
                <w:rFonts w:ascii="方正书宋_GBK" w:eastAsia="方正书宋_GBK"/>
              </w:rPr>
              <w:t>,</w:t>
            </w:r>
            <w:r>
              <w:rPr>
                <w:rFonts w:hint="eastAsia" w:ascii="方正书宋_GBK" w:eastAsia="方正书宋_GBK"/>
              </w:rPr>
              <w:t>发挥支农、支小作用</w:t>
            </w:r>
            <w:r>
              <w:rPr>
                <w:rFonts w:ascii="方正书宋_GBK" w:eastAsia="方正书宋_GBK"/>
              </w:rPr>
              <w:t>,</w:t>
            </w:r>
            <w:r>
              <w:rPr>
                <w:rFonts w:hint="eastAsia" w:ascii="方正书宋_GBK" w:eastAsia="方正书宋_GBK"/>
              </w:rPr>
              <w:t>促进地方金融机构健康发展</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目标完成率</w:t>
            </w: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40%</w:t>
            </w:r>
          </w:p>
        </w:tc>
        <w:tc>
          <w:tcPr>
            <w:tcW w:w="737" w:type="dxa"/>
            <w:vAlign w:val="center"/>
          </w:tcPr>
          <w:p>
            <w:pPr>
              <w:spacing w:line="300" w:lineRule="exact"/>
              <w:jc w:val="center"/>
              <w:rPr>
                <w:rFonts w:ascii="方正书宋_GBK" w:eastAsia="方正书宋_GBK"/>
              </w:rPr>
            </w:pPr>
            <w:r>
              <w:rPr>
                <w:rFonts w:ascii="方正书宋_GBK" w:eastAsia="方正书宋_GBK"/>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9</w:t>
            </w:r>
            <w:r>
              <w:rPr>
                <w:rFonts w:hint="eastAsia" w:ascii="方正书宋_GBK" w:eastAsia="方正书宋_GBK"/>
                <w:b/>
              </w:rPr>
              <w:t>、小额贷款公司监管</w:t>
            </w:r>
          </w:p>
        </w:tc>
        <w:tc>
          <w:tcPr>
            <w:tcW w:w="1276" w:type="dxa"/>
            <w:vMerge w:val="restart"/>
            <w:vAlign w:val="center"/>
          </w:tcPr>
          <w:p>
            <w:pPr>
              <w:spacing w:line="300" w:lineRule="exact"/>
              <w:jc w:val="left"/>
              <w:rPr>
                <w:rFonts w:ascii="方正书宋_GBK" w:eastAsia="方正书宋_GBK"/>
              </w:rPr>
            </w:pP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加强小额贷款公司试点和监管工作力量，完善工作制度，切实提高监管能力和手段</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积极稳妥推动小额贷款公司稳步增长，发挥支农、支小作用。</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公司年度审计情况</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不少于</w:t>
            </w:r>
            <w:r>
              <w:rPr>
                <w:rFonts w:ascii="方正书宋_GBK" w:eastAsia="方正书宋_GBK"/>
              </w:rPr>
              <w:t>90%</w:t>
            </w:r>
            <w:r>
              <w:rPr>
                <w:rFonts w:ascii="方正书宋_GBK" w:eastAsia="方正书宋_GBK"/>
              </w:rPr>
              <w:tab/>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不少于</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不少于</w:t>
            </w:r>
            <w:r>
              <w:rPr>
                <w:rFonts w:ascii="方正书宋_GBK" w:eastAsia="方正书宋_GBK"/>
              </w:rPr>
              <w:t>40%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不少于</w:t>
            </w:r>
            <w:r>
              <w:rPr>
                <w:rFonts w:ascii="方正书宋_GBK" w:eastAsia="方正书宋_GBK"/>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督导巡查次数</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不少于</w:t>
            </w:r>
            <w:r>
              <w:rPr>
                <w:rFonts w:ascii="方正书宋_GBK" w:eastAsia="方正书宋_GBK"/>
              </w:rPr>
              <w:t>90%</w:t>
            </w:r>
            <w:r>
              <w:rPr>
                <w:rFonts w:ascii="方正书宋_GBK" w:eastAsia="方正书宋_GBK"/>
              </w:rPr>
              <w:tab/>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不少于</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不少于</w:t>
            </w:r>
            <w:r>
              <w:rPr>
                <w:rFonts w:ascii="方正书宋_GBK" w:eastAsia="方正书宋_GBK"/>
              </w:rPr>
              <w:t>40%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不少于</w:t>
            </w:r>
            <w:r>
              <w:rPr>
                <w:rFonts w:ascii="方正书宋_GBK" w:eastAsia="方正书宋_GBK"/>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公司数量</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掌握</w:t>
            </w:r>
            <w:r>
              <w:rPr>
                <w:rFonts w:ascii="方正书宋_GBK" w:eastAsia="方正书宋_GBK"/>
              </w:rPr>
              <w:t>90%</w:t>
            </w:r>
            <w:r>
              <w:rPr>
                <w:rFonts w:ascii="方正书宋_GBK" w:eastAsia="方正书宋_GBK"/>
              </w:rPr>
              <w:tab/>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掌握</w:t>
            </w:r>
            <w:r>
              <w:rPr>
                <w:rFonts w:ascii="方正书宋_GBK" w:eastAsia="方正书宋_GBK"/>
              </w:rPr>
              <w:t>70%</w:t>
            </w:r>
            <w:r>
              <w:rPr>
                <w:rFonts w:ascii="方正书宋_GBK" w:eastAsia="方正书宋_GBK"/>
              </w:rPr>
              <w:tab/>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掌握</w:t>
            </w:r>
            <w:r>
              <w:rPr>
                <w:rFonts w:ascii="方正书宋_GBK" w:eastAsia="方正书宋_GBK"/>
              </w:rPr>
              <w:t>40%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掌握</w:t>
            </w:r>
            <w:r>
              <w:rPr>
                <w:rFonts w:ascii="方正书宋_GBK" w:eastAsia="方正书宋_GBK"/>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10</w:t>
            </w:r>
            <w:r>
              <w:rPr>
                <w:rFonts w:hint="eastAsia" w:ascii="方正书宋_GBK" w:eastAsia="方正书宋_GBK"/>
                <w:b/>
              </w:rPr>
              <w:t>、金融协调服务</w:t>
            </w:r>
          </w:p>
        </w:tc>
        <w:tc>
          <w:tcPr>
            <w:tcW w:w="1276" w:type="dxa"/>
            <w:vAlign w:val="center"/>
          </w:tcPr>
          <w:p>
            <w:pPr>
              <w:spacing w:line="300" w:lineRule="exact"/>
              <w:jc w:val="left"/>
              <w:rPr>
                <w:rFonts w:ascii="方正书宋_GBK" w:eastAsia="方正书宋_GBK"/>
              </w:rPr>
            </w:pPr>
            <w:r>
              <w:rPr>
                <w:rFonts w:ascii="方正书宋_GBK" w:eastAsia="方正书宋_GBK"/>
              </w:rPr>
              <w:t>2.00</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加强与金融驻县机构的联系，协调解决金融运行中涉及地方政府配合的相关事宜，推进对外金融交流合作，综合协调县级投融资体系建设。</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协调解决金融机构发展中遇到的问题，组织好项目对接，推动投融资体系建设和投融资机构做大做强，促进驻县机构服务县域经济社会发展。</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对接活动次数</w:t>
            </w:r>
          </w:p>
        </w:tc>
        <w:tc>
          <w:tcPr>
            <w:tcW w:w="737" w:type="dxa"/>
            <w:vAlign w:val="center"/>
          </w:tcPr>
          <w:p>
            <w:pPr>
              <w:spacing w:line="300" w:lineRule="exact"/>
              <w:jc w:val="center"/>
              <w:rPr>
                <w:rFonts w:ascii="方正书宋_GBK" w:eastAsia="方正书宋_GBK"/>
              </w:rPr>
            </w:pPr>
            <w:r>
              <w:rPr>
                <w:rFonts w:ascii="方正书宋_GBK" w:eastAsia="方正书宋_GBK"/>
              </w:rPr>
              <w:t>4</w:t>
            </w:r>
            <w:r>
              <w:rPr>
                <w:rFonts w:hint="eastAsia" w:ascii="方正书宋_GBK" w:eastAsia="方正书宋_GBK"/>
              </w:rPr>
              <w:t>次及以上</w:t>
            </w:r>
            <w:r>
              <w:rPr>
                <w:rFonts w:ascii="方正书宋_GBK" w:eastAsia="方正书宋_GBK"/>
              </w:rPr>
              <w:tab/>
            </w:r>
          </w:p>
        </w:tc>
        <w:tc>
          <w:tcPr>
            <w:tcW w:w="737" w:type="dxa"/>
            <w:vAlign w:val="center"/>
          </w:tcPr>
          <w:p>
            <w:pPr>
              <w:spacing w:line="300" w:lineRule="exact"/>
              <w:jc w:val="center"/>
              <w:rPr>
                <w:rFonts w:ascii="方正书宋_GBK" w:eastAsia="方正书宋_GBK"/>
              </w:rPr>
            </w:pPr>
            <w:r>
              <w:rPr>
                <w:rFonts w:ascii="方正书宋_GBK" w:eastAsia="方正书宋_GBK"/>
              </w:rPr>
              <w:t>3</w:t>
            </w:r>
            <w:r>
              <w:rPr>
                <w:rFonts w:hint="eastAsia" w:ascii="方正书宋_GBK" w:eastAsia="方正书宋_GBK"/>
              </w:rPr>
              <w:t>次</w:t>
            </w:r>
          </w:p>
        </w:tc>
        <w:tc>
          <w:tcPr>
            <w:tcW w:w="737" w:type="dxa"/>
            <w:vAlign w:val="center"/>
          </w:tcPr>
          <w:p>
            <w:pPr>
              <w:spacing w:line="300" w:lineRule="exact"/>
              <w:jc w:val="center"/>
              <w:rPr>
                <w:rFonts w:ascii="方正书宋_GBK" w:eastAsia="方正书宋_GBK"/>
              </w:rPr>
            </w:pPr>
            <w:r>
              <w:rPr>
                <w:rFonts w:ascii="方正书宋_GBK" w:eastAsia="方正书宋_GBK"/>
              </w:rPr>
              <w:t>2</w:t>
            </w:r>
            <w:r>
              <w:rPr>
                <w:rFonts w:hint="eastAsia" w:ascii="方正书宋_GBK" w:eastAsia="方正书宋_GBK"/>
              </w:rPr>
              <w:t>次</w:t>
            </w:r>
          </w:p>
        </w:tc>
        <w:tc>
          <w:tcPr>
            <w:tcW w:w="737" w:type="dxa"/>
            <w:vAlign w:val="center"/>
          </w:tcPr>
          <w:p>
            <w:pPr>
              <w:spacing w:line="300" w:lineRule="exact"/>
              <w:jc w:val="center"/>
              <w:rPr>
                <w:rFonts w:ascii="方正书宋_GBK" w:eastAsia="方正书宋_GBK"/>
              </w:rPr>
            </w:pPr>
            <w:r>
              <w:rPr>
                <w:rFonts w:ascii="方正书宋_GBK" w:eastAsia="方正书宋_GBK"/>
              </w:rPr>
              <w:t>1</w:t>
            </w:r>
            <w:r>
              <w:rPr>
                <w:rFonts w:hint="eastAsia" w:ascii="方正书宋_GBK" w:eastAsia="方正书宋_GBK"/>
              </w:rPr>
              <w:t>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11</w:t>
            </w:r>
            <w:r>
              <w:rPr>
                <w:rFonts w:hint="eastAsia" w:ascii="方正书宋_GBK" w:eastAsia="方正书宋_GBK"/>
                <w:b/>
              </w:rPr>
              <w:t>、金融交流合作</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研究制定县级金融协同发展方案，引进金融机构、金融后台等</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提高我县金融业对外开放水平</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金融机构入驻县手续办理及时性</w:t>
            </w: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40%</w:t>
            </w:r>
          </w:p>
        </w:tc>
        <w:tc>
          <w:tcPr>
            <w:tcW w:w="737" w:type="dxa"/>
            <w:vAlign w:val="center"/>
          </w:tcPr>
          <w:p>
            <w:pPr>
              <w:spacing w:line="300" w:lineRule="exact"/>
              <w:jc w:val="center"/>
              <w:rPr>
                <w:rFonts w:ascii="方正书宋_GBK" w:eastAsia="方正书宋_GBK"/>
              </w:rPr>
            </w:pPr>
            <w:r>
              <w:rPr>
                <w:rFonts w:ascii="方正书宋_GBK" w:eastAsia="方正书宋_GBK"/>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六、民族宗教事务管理</w:t>
            </w:r>
          </w:p>
        </w:tc>
        <w:tc>
          <w:tcPr>
            <w:tcW w:w="1276" w:type="dxa"/>
            <w:vAlign w:val="center"/>
          </w:tcPr>
          <w:p>
            <w:pPr>
              <w:spacing w:line="300" w:lineRule="exact"/>
              <w:jc w:val="left"/>
              <w:rPr>
                <w:rFonts w:ascii="方正书宋_GBK" w:eastAsia="方正书宋_GBK"/>
              </w:rPr>
            </w:pPr>
            <w:r>
              <w:rPr>
                <w:rFonts w:ascii="方正书宋_GBK" w:eastAsia="方正书宋_GBK"/>
              </w:rPr>
              <w:t>51.60</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贯彻执行国家关于少数民族工作的方针政策；实施有关民族问题的地方性法规和政策；协调处理涉及民族关系的有关事宜，监督办理少数民族权益保障事宜；帮扶民族地方经济发展；研究少数民族文教体艺等方面的特殊问题，开展相关保护开发活动。贯彻执行宣传国家关于宗教工作的方针政策，监督检查宗教活动场所，创建和谐寺观教堂，培训宗教工作干部，对困难宗教教职人员进行补助，监控、制止天主教地下分子的非法活动，协同管理宗教界人员对外交流等事宜。</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加强民族和宗教事务管理工作，维护社会稳定。</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、民族基本事务管理</w:t>
            </w:r>
          </w:p>
        </w:tc>
        <w:tc>
          <w:tcPr>
            <w:tcW w:w="1276" w:type="dxa"/>
            <w:vMerge w:val="restart"/>
            <w:vAlign w:val="center"/>
          </w:tcPr>
          <w:p>
            <w:pPr>
              <w:spacing w:line="300" w:lineRule="exact"/>
              <w:jc w:val="left"/>
              <w:rPr>
                <w:rFonts w:ascii="方正书宋_GBK" w:eastAsia="方正书宋_GBK"/>
              </w:rPr>
            </w:pP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贯彻执行国家关于少数民族工作的方针政策，实施有关民族问题的地方性法规和具体政策，协调处理涉及民族关系的有关事宜</w:t>
            </w:r>
            <w:r>
              <w:rPr>
                <w:rFonts w:ascii="方正书宋_GBK" w:eastAsia="方正书宋_GBK"/>
              </w:rPr>
              <w:t>,</w:t>
            </w:r>
            <w:r>
              <w:rPr>
                <w:rFonts w:hint="eastAsia" w:ascii="方正书宋_GBK" w:eastAsia="方正书宋_GBK"/>
              </w:rPr>
              <w:t>监督办理少数民族权益保障事宜</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加强民族事务管理工作</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民族法律政策宣传次数</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4</w:t>
            </w:r>
          </w:p>
        </w:tc>
        <w:tc>
          <w:tcPr>
            <w:tcW w:w="737" w:type="dxa"/>
            <w:vAlign w:val="center"/>
          </w:tcPr>
          <w:p>
            <w:pPr>
              <w:spacing w:line="300" w:lineRule="exact"/>
              <w:jc w:val="center"/>
              <w:rPr>
                <w:rFonts w:ascii="方正书宋_GBK" w:eastAsia="方正书宋_GBK"/>
              </w:rPr>
            </w:pPr>
            <w:r>
              <w:rPr>
                <w:rFonts w:ascii="方正书宋_GBK" w:eastAsia="方正书宋_GBK"/>
              </w:rPr>
              <w:t>3</w:t>
            </w:r>
          </w:p>
        </w:tc>
        <w:tc>
          <w:tcPr>
            <w:tcW w:w="737" w:type="dxa"/>
            <w:vAlign w:val="center"/>
          </w:tcPr>
          <w:p>
            <w:pPr>
              <w:spacing w:line="300" w:lineRule="exact"/>
              <w:jc w:val="center"/>
              <w:rPr>
                <w:rFonts w:ascii="方正书宋_GBK" w:eastAsia="方正书宋_GBK"/>
              </w:rPr>
            </w:pPr>
            <w:r>
              <w:rPr>
                <w:rFonts w:ascii="方正书宋_GBK" w:eastAsia="方正书宋_GBK"/>
              </w:rPr>
              <w:t>2</w:t>
            </w:r>
          </w:p>
        </w:tc>
        <w:tc>
          <w:tcPr>
            <w:tcW w:w="737" w:type="dxa"/>
            <w:vAlign w:val="center"/>
          </w:tcPr>
          <w:p>
            <w:pPr>
              <w:spacing w:line="300" w:lineRule="exact"/>
              <w:jc w:val="center"/>
              <w:rPr>
                <w:rFonts w:ascii="方正书宋_GBK" w:eastAsia="方正书宋_GBK"/>
              </w:rPr>
            </w:pPr>
            <w:r>
              <w:rPr>
                <w:rFonts w:ascii="方正书宋_GBK" w:eastAsia="方正书宋_GBK"/>
              </w:rPr>
              <w:t>&lt;2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民族法律政策宣传普及率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vAlign w:val="center"/>
          </w:tcPr>
          <w:p>
            <w:pPr>
              <w:spacing w:line="300" w:lineRule="exact"/>
              <w:jc w:val="center"/>
              <w:rPr>
                <w:rFonts w:ascii="方正书宋_GBK" w:eastAsia="方正书宋_GBK"/>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涉及民族关系的问题、案件解决率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、促进少数民族地区经济发展</w:t>
            </w:r>
          </w:p>
        </w:tc>
        <w:tc>
          <w:tcPr>
            <w:tcW w:w="1276" w:type="dxa"/>
            <w:vMerge w:val="restart"/>
            <w:vAlign w:val="center"/>
          </w:tcPr>
          <w:p>
            <w:pPr>
              <w:spacing w:line="300" w:lineRule="exact"/>
              <w:jc w:val="left"/>
              <w:rPr>
                <w:rFonts w:ascii="方正书宋_GBK" w:eastAsia="方正书宋_GBK"/>
              </w:rPr>
            </w:pPr>
            <w:r>
              <w:rPr>
                <w:rFonts w:ascii="方正书宋_GBK" w:eastAsia="方正书宋_GBK"/>
              </w:rPr>
              <w:t>33.00</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协调民族地方科技发展、对口支援、经济技术协作、民族贸易和民族特需用品生产</w:t>
            </w:r>
            <w:r>
              <w:rPr>
                <w:rFonts w:ascii="方正书宋_GBK" w:eastAsia="方正书宋_GBK"/>
              </w:rPr>
              <w:t>;</w:t>
            </w:r>
            <w:r>
              <w:rPr>
                <w:rFonts w:hint="eastAsia" w:ascii="方正书宋_GBK" w:eastAsia="方正书宋_GBK"/>
              </w:rPr>
              <w:t>配合承办少数民族和民族地方扶贫事宜</w:t>
            </w:r>
            <w:r>
              <w:rPr>
                <w:rFonts w:ascii="方正书宋_GBK" w:eastAsia="方正书宋_GBK"/>
              </w:rPr>
              <w:t>;</w:t>
            </w:r>
            <w:r>
              <w:rPr>
                <w:rFonts w:hint="eastAsia" w:ascii="方正书宋_GBK" w:eastAsia="方正书宋_GBK"/>
              </w:rPr>
              <w:t>承办民族统计工作</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较好的完成少数民族基本事务管理工作</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特困人群帮扶次数</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w:t>
            </w:r>
          </w:p>
        </w:tc>
        <w:tc>
          <w:tcPr>
            <w:tcW w:w="737" w:type="dxa"/>
            <w:vAlign w:val="center"/>
          </w:tcPr>
          <w:p>
            <w:pPr>
              <w:spacing w:line="300" w:lineRule="exact"/>
              <w:jc w:val="center"/>
              <w:rPr>
                <w:rFonts w:ascii="方正书宋_GBK" w:eastAsia="方正书宋_GBK"/>
              </w:rPr>
            </w:pPr>
            <w:r>
              <w:rPr>
                <w:rFonts w:ascii="方正书宋_GBK" w:eastAsia="方正书宋_GBK"/>
              </w:rPr>
              <w:t>&lt;3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开展民族统计工作次数</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w:t>
            </w:r>
          </w:p>
        </w:tc>
        <w:tc>
          <w:tcPr>
            <w:tcW w:w="737" w:type="dxa"/>
            <w:vAlign w:val="center"/>
          </w:tcPr>
          <w:p>
            <w:pPr>
              <w:spacing w:line="300" w:lineRule="exact"/>
              <w:jc w:val="center"/>
              <w:rPr>
                <w:rFonts w:ascii="方正书宋_GBK" w:eastAsia="方正书宋_GBK"/>
              </w:rPr>
            </w:pPr>
            <w:r>
              <w:rPr>
                <w:rFonts w:ascii="方正书宋_GBK" w:eastAsia="方正书宋_GBK"/>
              </w:rPr>
              <w:t>&lt;1</w:t>
            </w: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、宗教基本事务管理</w:t>
            </w:r>
          </w:p>
        </w:tc>
        <w:tc>
          <w:tcPr>
            <w:tcW w:w="1276" w:type="dxa"/>
            <w:vMerge w:val="restart"/>
            <w:vAlign w:val="center"/>
          </w:tcPr>
          <w:p>
            <w:pPr>
              <w:spacing w:line="300" w:lineRule="exact"/>
              <w:jc w:val="left"/>
              <w:rPr>
                <w:rFonts w:ascii="方正书宋_GBK" w:eastAsia="方正书宋_GBK"/>
              </w:rPr>
            </w:pP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贯彻执行国家关于宗教工作的方针政策；监督检查宗教活动场所；对困难宗教教职人员进行补助；协调指导各教的基本事务管理工作。</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完成宗教基本事务管理，加大全县宗教活动场所监管力度，及时解决各类问题</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宗教方针政策宣传次数</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4</w:t>
            </w:r>
          </w:p>
        </w:tc>
        <w:tc>
          <w:tcPr>
            <w:tcW w:w="737" w:type="dxa"/>
            <w:vAlign w:val="center"/>
          </w:tcPr>
          <w:p>
            <w:pPr>
              <w:spacing w:line="300" w:lineRule="exact"/>
              <w:jc w:val="center"/>
              <w:rPr>
                <w:rFonts w:ascii="方正书宋_GBK" w:eastAsia="方正书宋_GBK"/>
              </w:rPr>
            </w:pPr>
            <w:r>
              <w:rPr>
                <w:rFonts w:ascii="方正书宋_GBK" w:eastAsia="方正书宋_GBK"/>
              </w:rPr>
              <w:t>3</w:t>
            </w:r>
          </w:p>
        </w:tc>
        <w:tc>
          <w:tcPr>
            <w:tcW w:w="737" w:type="dxa"/>
            <w:vAlign w:val="center"/>
          </w:tcPr>
          <w:p>
            <w:pPr>
              <w:spacing w:line="300" w:lineRule="exact"/>
              <w:jc w:val="center"/>
              <w:rPr>
                <w:rFonts w:ascii="方正书宋_GBK" w:eastAsia="方正书宋_GBK"/>
              </w:rPr>
            </w:pPr>
            <w:r>
              <w:rPr>
                <w:rFonts w:ascii="方正书宋_GBK" w:eastAsia="方正书宋_GBK"/>
              </w:rPr>
              <w:t>2</w:t>
            </w:r>
          </w:p>
        </w:tc>
        <w:tc>
          <w:tcPr>
            <w:tcW w:w="737" w:type="dxa"/>
            <w:vAlign w:val="center"/>
          </w:tcPr>
          <w:p>
            <w:pPr>
              <w:spacing w:line="300" w:lineRule="exact"/>
              <w:jc w:val="center"/>
              <w:rPr>
                <w:rFonts w:ascii="方正书宋_GBK" w:eastAsia="方正书宋_GBK"/>
              </w:rPr>
            </w:pPr>
            <w:r>
              <w:rPr>
                <w:rFonts w:ascii="方正书宋_GBK" w:eastAsia="方正书宋_GBK"/>
              </w:rPr>
              <w:t>&lt;2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全县大型宗教活动场所检查次数</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w:t>
            </w:r>
          </w:p>
        </w:tc>
        <w:tc>
          <w:tcPr>
            <w:tcW w:w="737" w:type="dxa"/>
            <w:vAlign w:val="center"/>
          </w:tcPr>
          <w:p>
            <w:pPr>
              <w:spacing w:line="300" w:lineRule="exact"/>
              <w:jc w:val="center"/>
              <w:rPr>
                <w:rFonts w:ascii="方正书宋_GBK" w:eastAsia="方正书宋_GBK"/>
              </w:rPr>
            </w:pPr>
            <w:r>
              <w:rPr>
                <w:rFonts w:ascii="方正书宋_GBK" w:eastAsia="方正书宋_GBK"/>
              </w:rPr>
              <w:t>2</w:t>
            </w:r>
          </w:p>
        </w:tc>
        <w:tc>
          <w:tcPr>
            <w:tcW w:w="737" w:type="dxa"/>
            <w:vAlign w:val="center"/>
          </w:tcPr>
          <w:p>
            <w:pPr>
              <w:spacing w:line="300" w:lineRule="exact"/>
              <w:jc w:val="center"/>
              <w:rPr>
                <w:rFonts w:ascii="方正书宋_GBK" w:eastAsia="方正书宋_GBK"/>
              </w:rPr>
            </w:pPr>
            <w:r>
              <w:rPr>
                <w:rFonts w:ascii="方正书宋_GBK" w:eastAsia="方正书宋_GBK"/>
              </w:rPr>
              <w:t>1</w:t>
            </w:r>
          </w:p>
        </w:tc>
        <w:tc>
          <w:tcPr>
            <w:tcW w:w="737" w:type="dxa"/>
            <w:vAlign w:val="center"/>
          </w:tcPr>
          <w:p>
            <w:pPr>
              <w:spacing w:line="300" w:lineRule="exact"/>
              <w:jc w:val="center"/>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帮扶困难教职人员数量</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50</w:t>
            </w:r>
          </w:p>
        </w:tc>
        <w:tc>
          <w:tcPr>
            <w:tcW w:w="737" w:type="dxa"/>
            <w:vAlign w:val="center"/>
          </w:tcPr>
          <w:p>
            <w:pPr>
              <w:spacing w:line="300" w:lineRule="exact"/>
              <w:jc w:val="center"/>
              <w:rPr>
                <w:rFonts w:ascii="方正书宋_GBK" w:eastAsia="方正书宋_GBK"/>
              </w:rPr>
            </w:pPr>
            <w:r>
              <w:rPr>
                <w:rFonts w:ascii="方正书宋_GBK" w:eastAsia="方正书宋_GBK"/>
              </w:rPr>
              <w:t>&lt;50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全县大型宗教活动场所检查覆盖率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vAlign w:val="center"/>
          </w:tcPr>
          <w:p>
            <w:pPr>
              <w:spacing w:line="300" w:lineRule="exact"/>
              <w:jc w:val="center"/>
              <w:rPr>
                <w:rFonts w:ascii="方正书宋_GBK" w:eastAsia="方正书宋_GBK"/>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帮扶困难教职人员覆盖率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vAlign w:val="center"/>
          </w:tcPr>
          <w:p>
            <w:pPr>
              <w:spacing w:line="300" w:lineRule="exact"/>
              <w:jc w:val="center"/>
              <w:rPr>
                <w:rFonts w:ascii="方正书宋_GBK" w:eastAsia="方正书宋_GBK"/>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4</w:t>
            </w:r>
            <w:r>
              <w:rPr>
                <w:rFonts w:hint="eastAsia" w:ascii="方正书宋_GBK" w:eastAsia="方正书宋_GBK"/>
                <w:b/>
              </w:rPr>
              <w:t>、天主教综合治理</w:t>
            </w:r>
          </w:p>
        </w:tc>
        <w:tc>
          <w:tcPr>
            <w:tcW w:w="1276" w:type="dxa"/>
            <w:vAlign w:val="center"/>
          </w:tcPr>
          <w:p>
            <w:pPr>
              <w:spacing w:line="300" w:lineRule="exact"/>
              <w:jc w:val="left"/>
              <w:rPr>
                <w:rFonts w:ascii="方正书宋_GBK" w:eastAsia="方正书宋_GBK"/>
              </w:rPr>
            </w:pPr>
            <w:r>
              <w:rPr>
                <w:rFonts w:ascii="方正书宋_GBK" w:eastAsia="方正书宋_GBK"/>
              </w:rPr>
              <w:t>16.00</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对地下主教、神甫及其骨干分子进行监控、反渗透，研究天主教神职人员生活补助政策，巩固爱国人员的领导地位</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加大补助力度，增强反渗透能力</w:t>
            </w:r>
          </w:p>
        </w:tc>
        <w:tc>
          <w:tcPr>
            <w:tcW w:w="1417" w:type="dxa"/>
            <w:vAlign w:val="center"/>
          </w:tcPr>
          <w:p>
            <w:pPr>
              <w:spacing w:line="300" w:lineRule="exact"/>
              <w:jc w:val="left"/>
              <w:rPr>
                <w:rFonts w:ascii="方正书宋_GBK" w:eastAsia="方正书宋_GBK"/>
              </w:rPr>
            </w:pPr>
            <w:r>
              <w:rPr>
                <w:rFonts w:ascii="方正书宋_GBK" w:eastAsia="方正书宋_GBK"/>
              </w:rPr>
              <w:t>**</w:t>
            </w:r>
          </w:p>
        </w:tc>
        <w:tc>
          <w:tcPr>
            <w:tcW w:w="737" w:type="dxa"/>
            <w:vAlign w:val="center"/>
          </w:tcPr>
          <w:p>
            <w:pPr>
              <w:spacing w:line="300" w:lineRule="exact"/>
              <w:jc w:val="center"/>
              <w:rPr>
                <w:rFonts w:ascii="方正书宋_GBK" w:eastAsia="方正书宋_GBK"/>
              </w:rPr>
            </w:pPr>
            <w:r>
              <w:rPr>
                <w:rFonts w:ascii="方正书宋_GBK" w:eastAsia="方正书宋_GBK"/>
              </w:rPr>
              <w:t>**</w:t>
            </w:r>
          </w:p>
        </w:tc>
        <w:tc>
          <w:tcPr>
            <w:tcW w:w="737" w:type="dxa"/>
            <w:vAlign w:val="center"/>
          </w:tcPr>
          <w:p>
            <w:pPr>
              <w:spacing w:line="300" w:lineRule="exact"/>
              <w:jc w:val="center"/>
              <w:rPr>
                <w:rFonts w:ascii="方正书宋_GBK" w:eastAsia="方正书宋_GBK"/>
              </w:rPr>
            </w:pPr>
            <w:r>
              <w:rPr>
                <w:rFonts w:ascii="方正书宋_GBK" w:eastAsia="方正书宋_GBK"/>
              </w:rPr>
              <w:t>**</w:t>
            </w:r>
          </w:p>
        </w:tc>
        <w:tc>
          <w:tcPr>
            <w:tcW w:w="737" w:type="dxa"/>
            <w:vAlign w:val="center"/>
          </w:tcPr>
          <w:p>
            <w:pPr>
              <w:spacing w:line="300" w:lineRule="exact"/>
              <w:jc w:val="center"/>
              <w:rPr>
                <w:rFonts w:ascii="方正书宋_GBK" w:eastAsia="方正书宋_GBK"/>
              </w:rPr>
            </w:pPr>
            <w:r>
              <w:rPr>
                <w:rFonts w:ascii="方正书宋_GBK" w:eastAsia="方正书宋_GBK"/>
              </w:rPr>
              <w:t>**</w:t>
            </w:r>
          </w:p>
        </w:tc>
        <w:tc>
          <w:tcPr>
            <w:tcW w:w="737" w:type="dxa"/>
            <w:vAlign w:val="center"/>
          </w:tcPr>
          <w:p>
            <w:pPr>
              <w:spacing w:line="300" w:lineRule="exact"/>
              <w:jc w:val="center"/>
              <w:rPr>
                <w:rFonts w:ascii="方正书宋_GBK" w:eastAsia="方正书宋_GBK"/>
              </w:rPr>
            </w:pPr>
            <w:r>
              <w:rPr>
                <w:rFonts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5</w:t>
            </w:r>
            <w:r>
              <w:rPr>
                <w:rFonts w:hint="eastAsia" w:ascii="方正书宋_GBK" w:eastAsia="方正书宋_GBK"/>
                <w:b/>
              </w:rPr>
              <w:t>、培训教育</w:t>
            </w:r>
          </w:p>
        </w:tc>
        <w:tc>
          <w:tcPr>
            <w:tcW w:w="1276" w:type="dxa"/>
            <w:vMerge w:val="restart"/>
            <w:vAlign w:val="center"/>
          </w:tcPr>
          <w:p>
            <w:pPr>
              <w:spacing w:line="300" w:lineRule="exact"/>
              <w:jc w:val="left"/>
              <w:rPr>
                <w:rFonts w:ascii="方正书宋_GBK" w:eastAsia="方正书宋_GBK"/>
              </w:rPr>
            </w:pP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教育、培训各大宗教教职人员和信教群众，培养各大宗教爱国爱教人士，促进社会和谐稳定。</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lang w:eastAsia="zh-CN"/>
              </w:rPr>
              <w:t>增强</w:t>
            </w:r>
            <w:r>
              <w:rPr>
                <w:rFonts w:hint="eastAsia" w:ascii="方正书宋_GBK" w:eastAsia="方正书宋_GBK"/>
              </w:rPr>
              <w:t>培训效果，确保结训人员数量</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培训人次</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45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40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35</w:t>
            </w:r>
          </w:p>
        </w:tc>
        <w:tc>
          <w:tcPr>
            <w:tcW w:w="737" w:type="dxa"/>
            <w:vAlign w:val="center"/>
          </w:tcPr>
          <w:p>
            <w:pPr>
              <w:spacing w:line="300" w:lineRule="exact"/>
              <w:jc w:val="center"/>
              <w:rPr>
                <w:rFonts w:ascii="方正书宋_GBK" w:eastAsia="方正书宋_GBK"/>
              </w:rPr>
            </w:pPr>
            <w:r>
              <w:rPr>
                <w:rFonts w:ascii="方正书宋_GBK" w:eastAsia="方正书宋_GBK"/>
              </w:rPr>
              <w:t>&lt;30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培训通过率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6</w:t>
            </w:r>
            <w:r>
              <w:rPr>
                <w:rFonts w:hint="eastAsia" w:ascii="方正书宋_GBK" w:eastAsia="方正书宋_GBK"/>
                <w:b/>
              </w:rPr>
              <w:t>、民宗政务管理</w:t>
            </w:r>
          </w:p>
        </w:tc>
        <w:tc>
          <w:tcPr>
            <w:tcW w:w="1276" w:type="dxa"/>
            <w:vMerge w:val="restart"/>
            <w:vAlign w:val="center"/>
          </w:tcPr>
          <w:p>
            <w:pPr>
              <w:spacing w:line="300" w:lineRule="exact"/>
              <w:jc w:val="left"/>
              <w:rPr>
                <w:rFonts w:ascii="方正书宋_GBK" w:eastAsia="方正书宋_GBK"/>
              </w:rPr>
            </w:pPr>
            <w:r>
              <w:rPr>
                <w:rFonts w:ascii="方正书宋_GBK" w:eastAsia="方正书宋_GBK"/>
              </w:rPr>
              <w:t>2.60</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开展民族宗教政策和法制宣传教育工作，协助处理民族宗教方面的维稳问题促进民族宗教团结、稳定，帮助宗教团体解决办公用房，推进县宗教团体业务用房建设，妥善处置宗教突发事件、维护宗教界和谐稳定。</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保障机关正常运转</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维稳问题解决率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综合事务工作完成率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七、能源事务管理</w:t>
            </w:r>
          </w:p>
        </w:tc>
        <w:tc>
          <w:tcPr>
            <w:tcW w:w="1276" w:type="dxa"/>
            <w:vAlign w:val="center"/>
          </w:tcPr>
          <w:p>
            <w:pPr>
              <w:spacing w:line="300" w:lineRule="exact"/>
              <w:jc w:val="left"/>
              <w:rPr>
                <w:rFonts w:ascii="方正书宋_GBK" w:eastAsia="方正书宋_GBK"/>
              </w:rPr>
            </w:pPr>
            <w:r>
              <w:rPr>
                <w:rFonts w:ascii="方正书宋_GBK" w:eastAsia="方正书宋_GBK"/>
              </w:rPr>
              <w:t>23.40</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支持石油、煤田、铁路系统各单位在我县的各项工作，协调石油、煤田、铁路系统各部门在我县工作中的工农关系。承担全县煤炭生产许可证的审核、申报和监管工作。负责压煤区域的搬迁、补偿和安置工作，依法对压煤项目进行审批。</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突出政务、加强事务管理，力求重点工作出精品。难点工作求突破、基础工作有创新、常规工作见特色。以机关干部工作作风为依据，增强工作综合服务实力。参与煤矿建设工程设计的初审，审查国有煤矿采矿权转让方案。依法整顿和规范煤炭生产秩序。审查、报批煤矿建筑物、水体、公路、铁路压煤开采方案设计。</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、支煤、支油、支铁</w:t>
            </w:r>
          </w:p>
        </w:tc>
        <w:tc>
          <w:tcPr>
            <w:tcW w:w="1276" w:type="dxa"/>
            <w:vAlign w:val="center"/>
          </w:tcPr>
          <w:p>
            <w:pPr>
              <w:spacing w:line="300" w:lineRule="exact"/>
              <w:jc w:val="left"/>
              <w:rPr>
                <w:rFonts w:ascii="方正书宋_GBK" w:eastAsia="方正书宋_GBK"/>
              </w:rPr>
            </w:pPr>
            <w:r>
              <w:rPr>
                <w:rFonts w:ascii="方正书宋_GBK" w:eastAsia="方正书宋_GBK"/>
              </w:rPr>
              <w:t>23.40</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协助煤田、石油、铁路系统各施工单位办理项目占地、设施拆迁、树木砍伐、土价确定等，会同财政部门做好相关补偿工作。</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处理好煤田、油田、铁路系统各企业与地方的工农关系，推进煤田企业在我县项目的顺利实施</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反映年度支持煤田、油田、铁路系统工作情况</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、煤炭生产许可证的审核、申报和监管</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参与煤矿建设工程设计的初审，审查国有煤矿采矿权转让方案。依法整顿和规范煤炭生产秩序</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依法做好全县煤炭生产许可证的审核、申报和监管工作</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反映全县煤炭生产许可证审核</w:t>
            </w:r>
            <w:r>
              <w:rPr>
                <w:rFonts w:ascii="方正书宋_GBK" w:eastAsia="方正书宋_GBK"/>
              </w:rPr>
              <w:t>\</w:t>
            </w:r>
            <w:r>
              <w:rPr>
                <w:rFonts w:hint="eastAsia" w:ascii="方正书宋_GBK" w:eastAsia="方正书宋_GBK"/>
              </w:rPr>
              <w:t>申报和监管工作完成程度</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、煤田压覆项目审批</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审查、报批煤矿建筑物、水体、公路、铁路压煤开采方案设计</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严格审查煤田压覆项目</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反映煤田压覆项目审查完成程度</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w:t>
            </w:r>
          </w:p>
        </w:tc>
      </w:tr>
    </w:tbl>
    <w:p>
      <w:pPr>
        <w:pStyle w:val="6"/>
      </w:pPr>
      <w:r>
        <w:rPr>
          <w:rFonts w:hint="eastAsia" w:ascii="方正楷体_GBK" w:eastAsia="方正楷体_GBK"/>
          <w:sz w:val="24"/>
        </w:rPr>
        <w:t>备注：表中的年度预算数为项目支出，部门工作活动虽未安排项目支出，但由基本支出保障，由于基本支出无法拆分到相应的工作活动，因此部分工作活动没有列示年度预算数。</w:t>
      </w:r>
    </w:p>
    <w:p>
      <w:pPr>
        <w:spacing w:line="300" w:lineRule="exact"/>
        <w:jc w:val="left"/>
        <w:outlineLvl w:val="0"/>
        <w:sectPr>
          <w:pgSz w:w="16839" w:h="11907" w:orient="landscape"/>
          <w:pgMar w:top="1020" w:right="1361" w:bottom="1020" w:left="1361" w:header="851" w:footer="992" w:gutter="0"/>
          <w:cols w:space="425" w:num="1"/>
          <w:docGrid w:type="lines" w:linePitch="312" w:charSpace="0"/>
        </w:sectPr>
      </w:pPr>
    </w:p>
    <w:bookmarkEnd w:id="0"/>
    <w:p>
      <w:pPr>
        <w:autoSpaceDE w:val="0"/>
        <w:autoSpaceDN w:val="0"/>
        <w:adjustRightInd w:val="0"/>
        <w:spacing w:line="584" w:lineRule="exact"/>
        <w:ind w:firstLine="640" w:firstLineChars="200"/>
        <w:jc w:val="left"/>
        <w:rPr>
          <w:rFonts w:ascii="Times New Roman" w:hAnsi="Times New Roman" w:eastAsia="黑体"/>
          <w:sz w:val="32"/>
          <w:szCs w:val="32"/>
        </w:rPr>
      </w:pPr>
      <w:r>
        <w:rPr>
          <w:rFonts w:hint="eastAsia" w:ascii="Times New Roman" w:hAnsi="黑体" w:eastAsia="黑体"/>
          <w:sz w:val="32"/>
          <w:szCs w:val="32"/>
        </w:rPr>
        <w:t>六、政府采购预算情况</w:t>
      </w:r>
    </w:p>
    <w:p>
      <w:pPr>
        <w:spacing w:line="584" w:lineRule="exact"/>
        <w:ind w:firstLine="640" w:firstLineChars="200"/>
        <w:outlineLvl w:val="0"/>
        <w:rPr>
          <w:rFonts w:hint="eastAsia" w:ascii="仿宋_GB2312" w:hAnsi="仿宋_GB2312" w:eastAsia="仿宋_GB2312" w:cs="仿宋_GB2312"/>
          <w:sz w:val="32"/>
          <w:szCs w:val="24"/>
        </w:rPr>
      </w:pPr>
      <w:bookmarkStart w:id="2" w:name="_Toc471398468"/>
      <w:r>
        <w:rPr>
          <w:rFonts w:hint="eastAsia" w:ascii="仿宋_GB2312" w:hAnsi="仿宋_GB2312" w:eastAsia="仿宋_GB2312" w:cs="仿宋_GB2312"/>
          <w:sz w:val="32"/>
          <w:szCs w:val="24"/>
        </w:rPr>
        <w:t>2019年，我部门安排政府采购预算8.20万元。具体内容见下表。</w:t>
      </w:r>
    </w:p>
    <w:bookmarkEnd w:id="2"/>
    <w:p>
      <w:pPr>
        <w:jc w:val="center"/>
        <w:outlineLvl w:val="0"/>
        <w:rPr>
          <w:rFonts w:ascii="方正小标宋_GBK" w:eastAsia="方正小标宋_GBK"/>
          <w:sz w:val="32"/>
        </w:rPr>
      </w:pPr>
      <w:bookmarkStart w:id="3" w:name="_Toc2077006"/>
      <w:bookmarkStart w:id="4" w:name="_Toc504489153"/>
      <w:r>
        <w:rPr>
          <w:rFonts w:hint="eastAsia" w:ascii="方正小标宋_GBK" w:eastAsia="方正小标宋_GBK"/>
          <w:sz w:val="32"/>
        </w:rPr>
        <w:t>部门政府采购预算</w:t>
      </w:r>
      <w:bookmarkEnd w:id="3"/>
    </w:p>
    <w:tbl>
      <w:tblPr>
        <w:tblStyle w:val="8"/>
        <w:tblW w:w="1456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33"/>
        <w:gridCol w:w="1084"/>
        <w:gridCol w:w="959"/>
        <w:gridCol w:w="1161"/>
        <w:gridCol w:w="747"/>
        <w:gridCol w:w="747"/>
        <w:gridCol w:w="835"/>
        <w:gridCol w:w="948"/>
        <w:gridCol w:w="948"/>
        <w:gridCol w:w="948"/>
        <w:gridCol w:w="948"/>
        <w:gridCol w:w="951"/>
        <w:gridCol w:w="951"/>
        <w:gridCol w:w="90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966" w:type="dxa"/>
            <w:gridSpan w:val="7"/>
            <w:tcBorders>
              <w:top w:val="single" w:color="FFFFFF" w:sz="6" w:space="0"/>
              <w:left w:val="single" w:color="FFFFFF" w:sz="6" w:space="0"/>
              <w:right w:val="single" w:color="FFFFFF" w:sz="6" w:space="0"/>
            </w:tcBorders>
            <w:vAlign w:val="center"/>
          </w:tcPr>
          <w:p>
            <w:pPr>
              <w:spacing w:line="300" w:lineRule="exact"/>
              <w:jc w:val="left"/>
              <w:rPr>
                <w:rFonts w:ascii="方正小标宋_GBK" w:eastAsia="方正小标宋_GBK"/>
                <w:sz w:val="24"/>
              </w:rPr>
            </w:pPr>
            <w:r>
              <w:rPr>
                <w:rFonts w:ascii="方正小标宋_GBK" w:eastAsia="方正小标宋_GBK"/>
                <w:sz w:val="24"/>
              </w:rPr>
              <w:t>434</w:t>
            </w:r>
            <w:r>
              <w:rPr>
                <w:rFonts w:hint="eastAsia" w:ascii="方正小标宋_GBK" w:eastAsia="方正小标宋_GBK"/>
                <w:sz w:val="24"/>
              </w:rPr>
              <w:t>大城县人民政府办公室</w:t>
            </w:r>
          </w:p>
        </w:tc>
        <w:tc>
          <w:tcPr>
            <w:tcW w:w="6602" w:type="dxa"/>
            <w:gridSpan w:val="7"/>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517" w:type="dxa"/>
            <w:gridSpan w:val="2"/>
            <w:vAlign w:val="center"/>
          </w:tcPr>
          <w:p>
            <w:pPr>
              <w:spacing w:line="300" w:lineRule="exact"/>
              <w:jc w:val="center"/>
              <w:rPr>
                <w:rFonts w:ascii="方正书宋_GBK" w:eastAsia="方正书宋_GBK"/>
                <w:b/>
              </w:rPr>
            </w:pPr>
            <w:r>
              <w:rPr>
                <w:rFonts w:hint="eastAsia" w:ascii="方正书宋_GBK" w:eastAsia="方正书宋_GBK"/>
                <w:b/>
              </w:rPr>
              <w:t>政府采购项目来源</w:t>
            </w:r>
          </w:p>
        </w:tc>
        <w:tc>
          <w:tcPr>
            <w:tcW w:w="959" w:type="dxa"/>
            <w:vMerge w:val="restart"/>
            <w:vAlign w:val="center"/>
          </w:tcPr>
          <w:p>
            <w:pPr>
              <w:spacing w:line="300" w:lineRule="exact"/>
              <w:jc w:val="center"/>
              <w:rPr>
                <w:rFonts w:ascii="方正书宋_GBK" w:eastAsia="方正书宋_GBK"/>
                <w:b/>
              </w:rPr>
            </w:pPr>
            <w:r>
              <w:rPr>
                <w:rFonts w:hint="eastAsia" w:ascii="方正书宋_GBK" w:eastAsia="方正书宋_GBK"/>
                <w:b/>
              </w:rPr>
              <w:t>采购物品名称</w:t>
            </w:r>
          </w:p>
        </w:tc>
        <w:tc>
          <w:tcPr>
            <w:tcW w:w="1161" w:type="dxa"/>
            <w:vMerge w:val="restart"/>
            <w:vAlign w:val="center"/>
          </w:tcPr>
          <w:p>
            <w:pPr>
              <w:spacing w:line="300" w:lineRule="exact"/>
              <w:jc w:val="center"/>
              <w:rPr>
                <w:rFonts w:ascii="方正书宋_GBK" w:eastAsia="方正书宋_GBK"/>
                <w:b/>
              </w:rPr>
            </w:pPr>
            <w:r>
              <w:rPr>
                <w:rFonts w:hint="eastAsia" w:ascii="方正书宋_GBK" w:eastAsia="方正书宋_GBK"/>
                <w:b/>
              </w:rPr>
              <w:t>政府采购目录序号</w:t>
            </w:r>
          </w:p>
        </w:tc>
        <w:tc>
          <w:tcPr>
            <w:tcW w:w="747" w:type="dxa"/>
            <w:vMerge w:val="restart"/>
            <w:vAlign w:val="center"/>
          </w:tcPr>
          <w:p>
            <w:pPr>
              <w:spacing w:line="300" w:lineRule="exact"/>
              <w:jc w:val="center"/>
              <w:rPr>
                <w:rFonts w:ascii="方正书宋_GBK" w:eastAsia="方正书宋_GBK"/>
                <w:b/>
              </w:rPr>
            </w:pPr>
            <w:r>
              <w:rPr>
                <w:rFonts w:hint="eastAsia" w:ascii="方正书宋_GBK" w:eastAsia="方正书宋_GBK"/>
                <w:b/>
              </w:rPr>
              <w:t>数量</w:t>
            </w:r>
            <w:r>
              <w:rPr>
                <w:rFonts w:ascii="方正书宋_GBK" w:eastAsia="方正书宋_GBK"/>
                <w:b/>
              </w:rPr>
              <w:t xml:space="preserve">  </w:t>
            </w:r>
            <w:r>
              <w:rPr>
                <w:rFonts w:hint="eastAsia" w:ascii="方正书宋_GBK" w:eastAsia="方正书宋_GBK"/>
                <w:b/>
              </w:rPr>
              <w:t>单位</w:t>
            </w:r>
          </w:p>
        </w:tc>
        <w:tc>
          <w:tcPr>
            <w:tcW w:w="747" w:type="dxa"/>
            <w:vMerge w:val="restart"/>
            <w:vAlign w:val="center"/>
          </w:tcPr>
          <w:p>
            <w:pPr>
              <w:spacing w:line="300" w:lineRule="exact"/>
              <w:jc w:val="center"/>
              <w:rPr>
                <w:rFonts w:ascii="方正书宋_GBK" w:eastAsia="方正书宋_GBK"/>
                <w:b/>
              </w:rPr>
            </w:pPr>
            <w:r>
              <w:rPr>
                <w:rFonts w:hint="eastAsia" w:ascii="方正书宋_GBK" w:eastAsia="方正书宋_GBK"/>
                <w:b/>
              </w:rPr>
              <w:t>数量</w:t>
            </w:r>
          </w:p>
        </w:tc>
        <w:tc>
          <w:tcPr>
            <w:tcW w:w="835" w:type="dxa"/>
            <w:vMerge w:val="restart"/>
            <w:vAlign w:val="center"/>
          </w:tcPr>
          <w:p>
            <w:pPr>
              <w:spacing w:line="300" w:lineRule="exact"/>
              <w:jc w:val="center"/>
              <w:rPr>
                <w:rFonts w:ascii="方正书宋_GBK" w:eastAsia="方正书宋_GBK"/>
                <w:b/>
              </w:rPr>
            </w:pPr>
            <w:r>
              <w:rPr>
                <w:rFonts w:hint="eastAsia" w:ascii="方正书宋_GBK" w:eastAsia="方正书宋_GBK"/>
                <w:b/>
              </w:rPr>
              <w:t>单价</w:t>
            </w:r>
          </w:p>
        </w:tc>
        <w:tc>
          <w:tcPr>
            <w:tcW w:w="6602" w:type="dxa"/>
            <w:gridSpan w:val="7"/>
            <w:vAlign w:val="center"/>
          </w:tcPr>
          <w:p>
            <w:pPr>
              <w:spacing w:line="300" w:lineRule="exact"/>
              <w:jc w:val="center"/>
              <w:rPr>
                <w:rFonts w:ascii="方正书宋_GBK" w:eastAsia="方正书宋_GBK"/>
                <w:b/>
              </w:rPr>
            </w:pPr>
            <w:r>
              <w:rPr>
                <w:rFonts w:hint="eastAsia" w:ascii="方正书宋_GBK" w:eastAsia="方正书宋_GBK"/>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433" w:type="dxa"/>
            <w:vMerge w:val="restart"/>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108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预算资金</w:t>
            </w:r>
          </w:p>
        </w:tc>
        <w:tc>
          <w:tcPr>
            <w:tcW w:w="959" w:type="dxa"/>
            <w:vMerge w:val="continue"/>
            <w:vAlign w:val="center"/>
          </w:tcPr>
          <w:p>
            <w:pPr>
              <w:spacing w:line="300" w:lineRule="exact"/>
              <w:jc w:val="left"/>
              <w:outlineLvl w:val="0"/>
            </w:pPr>
          </w:p>
        </w:tc>
        <w:tc>
          <w:tcPr>
            <w:tcW w:w="1161" w:type="dxa"/>
            <w:vMerge w:val="continue"/>
            <w:vAlign w:val="center"/>
          </w:tcPr>
          <w:p>
            <w:pPr>
              <w:spacing w:line="300" w:lineRule="exact"/>
              <w:jc w:val="left"/>
              <w:outlineLvl w:val="0"/>
            </w:pPr>
          </w:p>
        </w:tc>
        <w:tc>
          <w:tcPr>
            <w:tcW w:w="747" w:type="dxa"/>
            <w:vMerge w:val="continue"/>
            <w:vAlign w:val="center"/>
          </w:tcPr>
          <w:p>
            <w:pPr>
              <w:spacing w:line="300" w:lineRule="exact"/>
              <w:jc w:val="left"/>
              <w:outlineLvl w:val="0"/>
            </w:pPr>
          </w:p>
        </w:tc>
        <w:tc>
          <w:tcPr>
            <w:tcW w:w="747" w:type="dxa"/>
            <w:vMerge w:val="continue"/>
            <w:vAlign w:val="center"/>
          </w:tcPr>
          <w:p>
            <w:pPr>
              <w:spacing w:line="300" w:lineRule="exact"/>
              <w:jc w:val="left"/>
              <w:outlineLvl w:val="0"/>
            </w:pPr>
          </w:p>
        </w:tc>
        <w:tc>
          <w:tcPr>
            <w:tcW w:w="835" w:type="dxa"/>
            <w:vMerge w:val="continue"/>
            <w:vAlign w:val="center"/>
          </w:tcPr>
          <w:p>
            <w:pPr>
              <w:spacing w:line="300" w:lineRule="exact"/>
              <w:jc w:val="left"/>
              <w:outlineLvl w:val="0"/>
            </w:pPr>
          </w:p>
        </w:tc>
        <w:tc>
          <w:tcPr>
            <w:tcW w:w="948" w:type="dxa"/>
            <w:vMerge w:val="restart"/>
            <w:vAlign w:val="center"/>
          </w:tcPr>
          <w:p>
            <w:pPr>
              <w:spacing w:line="300" w:lineRule="exact"/>
              <w:jc w:val="center"/>
              <w:rPr>
                <w:rFonts w:ascii="方正书宋_GBK" w:eastAsia="方正书宋_GBK"/>
                <w:b/>
              </w:rPr>
            </w:pPr>
            <w:r>
              <w:rPr>
                <w:rFonts w:hint="eastAsia" w:ascii="方正书宋_GBK" w:eastAsia="方正书宋_GBK"/>
                <w:b/>
              </w:rPr>
              <w:t>总计</w:t>
            </w:r>
          </w:p>
        </w:tc>
        <w:tc>
          <w:tcPr>
            <w:tcW w:w="4746" w:type="dxa"/>
            <w:gridSpan w:val="5"/>
            <w:vAlign w:val="center"/>
          </w:tcPr>
          <w:p>
            <w:pPr>
              <w:spacing w:line="300" w:lineRule="exact"/>
              <w:jc w:val="center"/>
              <w:rPr>
                <w:rFonts w:ascii="方正书宋_GBK" w:eastAsia="方正书宋_GBK"/>
                <w:b/>
              </w:rPr>
            </w:pPr>
            <w:r>
              <w:rPr>
                <w:rFonts w:hint="eastAsia" w:ascii="方正书宋_GBK" w:eastAsia="方正书宋_GBK"/>
                <w:b/>
              </w:rPr>
              <w:t>当年部门预算安排资金</w:t>
            </w:r>
          </w:p>
        </w:tc>
        <w:tc>
          <w:tcPr>
            <w:tcW w:w="908" w:type="dxa"/>
            <w:vMerge w:val="restart"/>
            <w:vAlign w:val="center"/>
          </w:tcPr>
          <w:p>
            <w:pPr>
              <w:spacing w:line="300" w:lineRule="exact"/>
              <w:jc w:val="center"/>
              <w:rPr>
                <w:rFonts w:ascii="方正书宋_GBK" w:eastAsia="方正书宋_GBK"/>
                <w:b/>
              </w:rPr>
            </w:pPr>
            <w:r>
              <w:rPr>
                <w:rFonts w:hint="eastAsia" w:ascii="方正书宋_GBK" w:eastAsia="方正书宋_GBK"/>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433" w:type="dxa"/>
            <w:vMerge w:val="continue"/>
            <w:vAlign w:val="center"/>
          </w:tcPr>
          <w:p>
            <w:pPr>
              <w:spacing w:line="300" w:lineRule="exact"/>
              <w:jc w:val="left"/>
              <w:outlineLvl w:val="0"/>
            </w:pPr>
          </w:p>
        </w:tc>
        <w:tc>
          <w:tcPr>
            <w:tcW w:w="1084" w:type="dxa"/>
            <w:vMerge w:val="continue"/>
            <w:vAlign w:val="center"/>
          </w:tcPr>
          <w:p>
            <w:pPr>
              <w:spacing w:line="300" w:lineRule="exact"/>
              <w:jc w:val="left"/>
              <w:outlineLvl w:val="0"/>
            </w:pPr>
          </w:p>
        </w:tc>
        <w:tc>
          <w:tcPr>
            <w:tcW w:w="959" w:type="dxa"/>
            <w:vMerge w:val="continue"/>
            <w:vAlign w:val="center"/>
          </w:tcPr>
          <w:p>
            <w:pPr>
              <w:spacing w:line="300" w:lineRule="exact"/>
              <w:jc w:val="left"/>
              <w:outlineLvl w:val="0"/>
            </w:pPr>
          </w:p>
        </w:tc>
        <w:tc>
          <w:tcPr>
            <w:tcW w:w="1161" w:type="dxa"/>
            <w:vMerge w:val="continue"/>
            <w:vAlign w:val="center"/>
          </w:tcPr>
          <w:p>
            <w:pPr>
              <w:spacing w:line="300" w:lineRule="exact"/>
              <w:jc w:val="left"/>
              <w:outlineLvl w:val="0"/>
            </w:pPr>
          </w:p>
        </w:tc>
        <w:tc>
          <w:tcPr>
            <w:tcW w:w="747" w:type="dxa"/>
            <w:vMerge w:val="continue"/>
            <w:vAlign w:val="center"/>
          </w:tcPr>
          <w:p>
            <w:pPr>
              <w:spacing w:line="300" w:lineRule="exact"/>
              <w:jc w:val="left"/>
              <w:outlineLvl w:val="0"/>
            </w:pPr>
          </w:p>
        </w:tc>
        <w:tc>
          <w:tcPr>
            <w:tcW w:w="747" w:type="dxa"/>
            <w:vMerge w:val="continue"/>
            <w:vAlign w:val="center"/>
          </w:tcPr>
          <w:p>
            <w:pPr>
              <w:spacing w:line="300" w:lineRule="exact"/>
              <w:jc w:val="left"/>
              <w:outlineLvl w:val="0"/>
            </w:pPr>
          </w:p>
        </w:tc>
        <w:tc>
          <w:tcPr>
            <w:tcW w:w="835" w:type="dxa"/>
            <w:vMerge w:val="continue"/>
            <w:vAlign w:val="center"/>
          </w:tcPr>
          <w:p>
            <w:pPr>
              <w:spacing w:line="300" w:lineRule="exact"/>
              <w:jc w:val="left"/>
              <w:outlineLvl w:val="0"/>
            </w:pPr>
          </w:p>
        </w:tc>
        <w:tc>
          <w:tcPr>
            <w:tcW w:w="948" w:type="dxa"/>
            <w:vMerge w:val="continue"/>
            <w:vAlign w:val="center"/>
          </w:tcPr>
          <w:p>
            <w:pPr>
              <w:spacing w:line="300" w:lineRule="exact"/>
              <w:jc w:val="left"/>
              <w:outlineLvl w:val="0"/>
            </w:pPr>
          </w:p>
        </w:tc>
        <w:tc>
          <w:tcPr>
            <w:tcW w:w="948" w:type="dxa"/>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948" w:type="dxa"/>
            <w:vAlign w:val="center"/>
          </w:tcPr>
          <w:p>
            <w:pPr>
              <w:spacing w:line="300" w:lineRule="exact"/>
              <w:jc w:val="center"/>
              <w:rPr>
                <w:rFonts w:ascii="方正书宋_GBK" w:eastAsia="方正书宋_GBK"/>
                <w:b/>
              </w:rPr>
            </w:pPr>
            <w:r>
              <w:rPr>
                <w:rFonts w:hint="eastAsia" w:ascii="方正书宋_GBK" w:eastAsia="方正书宋_GBK"/>
                <w:b/>
              </w:rPr>
              <w:t>一般公共预算拨款</w:t>
            </w:r>
          </w:p>
        </w:tc>
        <w:tc>
          <w:tcPr>
            <w:tcW w:w="948" w:type="dxa"/>
            <w:vAlign w:val="center"/>
          </w:tcPr>
          <w:p>
            <w:pPr>
              <w:spacing w:line="300" w:lineRule="exact"/>
              <w:jc w:val="center"/>
              <w:rPr>
                <w:rFonts w:ascii="方正书宋_GBK" w:eastAsia="方正书宋_GBK"/>
                <w:b/>
              </w:rPr>
            </w:pPr>
            <w:r>
              <w:rPr>
                <w:rFonts w:hint="eastAsia" w:ascii="方正书宋_GBK" w:eastAsia="方正书宋_GBK"/>
                <w:b/>
              </w:rPr>
              <w:t>基金预算拨款</w:t>
            </w:r>
          </w:p>
        </w:tc>
        <w:tc>
          <w:tcPr>
            <w:tcW w:w="951" w:type="dxa"/>
            <w:vAlign w:val="center"/>
          </w:tcPr>
          <w:p>
            <w:pPr>
              <w:spacing w:line="300" w:lineRule="exact"/>
              <w:jc w:val="center"/>
              <w:rPr>
                <w:rFonts w:ascii="方正书宋_GBK" w:eastAsia="方正书宋_GBK"/>
                <w:b/>
              </w:rPr>
            </w:pPr>
            <w:r>
              <w:rPr>
                <w:rFonts w:hint="eastAsia" w:ascii="方正书宋_GBK" w:eastAsia="方正书宋_GBK"/>
                <w:b/>
              </w:rPr>
              <w:t>财政专户核拨</w:t>
            </w:r>
          </w:p>
        </w:tc>
        <w:tc>
          <w:tcPr>
            <w:tcW w:w="951" w:type="dxa"/>
            <w:vAlign w:val="center"/>
          </w:tcPr>
          <w:p>
            <w:pPr>
              <w:spacing w:line="300" w:lineRule="exact"/>
              <w:jc w:val="center"/>
              <w:rPr>
                <w:rFonts w:ascii="方正书宋_GBK" w:eastAsia="方正书宋_GBK"/>
                <w:b/>
              </w:rPr>
            </w:pPr>
            <w:r>
              <w:rPr>
                <w:rFonts w:hint="eastAsia" w:ascii="方正书宋_GBK" w:eastAsia="方正书宋_GBK"/>
                <w:b/>
              </w:rPr>
              <w:t>其他来源收入</w:t>
            </w:r>
          </w:p>
        </w:tc>
        <w:tc>
          <w:tcPr>
            <w:tcW w:w="908" w:type="dxa"/>
            <w:vMerge w:val="continue"/>
            <w:vAlign w:val="center"/>
          </w:tcPr>
          <w:p>
            <w:pPr>
              <w:spacing w:line="300" w:lineRule="exact"/>
              <w:jc w:val="left"/>
              <w:outlineLvl w:val="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33" w:type="dxa"/>
            <w:vAlign w:val="center"/>
          </w:tcPr>
          <w:p>
            <w:pPr>
              <w:spacing w:line="300" w:lineRule="exact"/>
              <w:jc w:val="center"/>
              <w:rPr>
                <w:rFonts w:ascii="方正书宋_GBK" w:eastAsia="方正书宋_GBK"/>
                <w:b/>
              </w:rPr>
            </w:pPr>
            <w:r>
              <w:rPr>
                <w:rFonts w:hint="eastAsia" w:ascii="方正书宋_GBK" w:eastAsia="方正书宋_GBK"/>
                <w:b/>
              </w:rPr>
              <w:t>合　计</w:t>
            </w:r>
          </w:p>
        </w:tc>
        <w:tc>
          <w:tcPr>
            <w:tcW w:w="1084" w:type="dxa"/>
            <w:vAlign w:val="center"/>
          </w:tcPr>
          <w:p>
            <w:pPr>
              <w:spacing w:line="300" w:lineRule="exact"/>
              <w:jc w:val="right"/>
              <w:rPr>
                <w:rFonts w:ascii="方正书宋_GBK" w:eastAsia="方正书宋_GBK"/>
                <w:b/>
              </w:rPr>
            </w:pPr>
          </w:p>
        </w:tc>
        <w:tc>
          <w:tcPr>
            <w:tcW w:w="959" w:type="dxa"/>
            <w:vAlign w:val="center"/>
          </w:tcPr>
          <w:p>
            <w:pPr>
              <w:spacing w:line="300" w:lineRule="exact"/>
              <w:jc w:val="left"/>
              <w:rPr>
                <w:rFonts w:ascii="方正书宋_GBK" w:eastAsia="方正书宋_GBK"/>
                <w:b/>
              </w:rPr>
            </w:pPr>
          </w:p>
        </w:tc>
        <w:tc>
          <w:tcPr>
            <w:tcW w:w="1161" w:type="dxa"/>
            <w:vAlign w:val="center"/>
          </w:tcPr>
          <w:p>
            <w:pPr>
              <w:spacing w:line="300" w:lineRule="exact"/>
              <w:jc w:val="left"/>
              <w:rPr>
                <w:rFonts w:ascii="方正书宋_GBK" w:eastAsia="方正书宋_GBK"/>
                <w:b/>
              </w:rPr>
            </w:pPr>
          </w:p>
        </w:tc>
        <w:tc>
          <w:tcPr>
            <w:tcW w:w="747" w:type="dxa"/>
            <w:vAlign w:val="center"/>
          </w:tcPr>
          <w:p>
            <w:pPr>
              <w:spacing w:line="300" w:lineRule="exact"/>
              <w:jc w:val="left"/>
              <w:rPr>
                <w:rFonts w:ascii="方正书宋_GBK" w:eastAsia="方正书宋_GBK"/>
                <w:b/>
              </w:rPr>
            </w:pPr>
          </w:p>
        </w:tc>
        <w:tc>
          <w:tcPr>
            <w:tcW w:w="747" w:type="dxa"/>
            <w:vAlign w:val="center"/>
          </w:tcPr>
          <w:p>
            <w:pPr>
              <w:spacing w:line="300" w:lineRule="exact"/>
              <w:jc w:val="right"/>
              <w:rPr>
                <w:rFonts w:ascii="方正书宋_GBK" w:eastAsia="方正书宋_GBK"/>
                <w:b/>
              </w:rPr>
            </w:pPr>
          </w:p>
        </w:tc>
        <w:tc>
          <w:tcPr>
            <w:tcW w:w="835" w:type="dxa"/>
            <w:vAlign w:val="center"/>
          </w:tcPr>
          <w:p>
            <w:pPr>
              <w:spacing w:line="300" w:lineRule="exact"/>
              <w:jc w:val="right"/>
              <w:rPr>
                <w:rFonts w:ascii="方正书宋_GBK" w:eastAsia="方正书宋_GBK"/>
                <w:b/>
              </w:rPr>
            </w:pPr>
          </w:p>
        </w:tc>
        <w:tc>
          <w:tcPr>
            <w:tcW w:w="948" w:type="dxa"/>
            <w:vAlign w:val="center"/>
          </w:tcPr>
          <w:p>
            <w:pPr>
              <w:spacing w:line="300" w:lineRule="exact"/>
              <w:jc w:val="right"/>
              <w:rPr>
                <w:rFonts w:ascii="方正书宋_GBK" w:eastAsia="方正书宋_GBK"/>
                <w:b/>
              </w:rPr>
            </w:pPr>
            <w:r>
              <w:rPr>
                <w:rFonts w:ascii="方正书宋_GBK" w:eastAsia="方正书宋_GBK"/>
                <w:b/>
              </w:rPr>
              <w:t>8.20</w:t>
            </w:r>
          </w:p>
        </w:tc>
        <w:tc>
          <w:tcPr>
            <w:tcW w:w="948" w:type="dxa"/>
            <w:vAlign w:val="center"/>
          </w:tcPr>
          <w:p>
            <w:pPr>
              <w:spacing w:line="300" w:lineRule="exact"/>
              <w:jc w:val="right"/>
              <w:rPr>
                <w:rFonts w:ascii="方正书宋_GBK" w:eastAsia="方正书宋_GBK"/>
                <w:b/>
              </w:rPr>
            </w:pPr>
            <w:r>
              <w:rPr>
                <w:rFonts w:ascii="方正书宋_GBK" w:eastAsia="方正书宋_GBK"/>
                <w:b/>
              </w:rPr>
              <w:t>8.20</w:t>
            </w:r>
          </w:p>
        </w:tc>
        <w:tc>
          <w:tcPr>
            <w:tcW w:w="948" w:type="dxa"/>
            <w:vAlign w:val="center"/>
          </w:tcPr>
          <w:p>
            <w:pPr>
              <w:spacing w:line="300" w:lineRule="exact"/>
              <w:jc w:val="right"/>
              <w:rPr>
                <w:rFonts w:ascii="方正书宋_GBK" w:eastAsia="方正书宋_GBK"/>
                <w:b/>
              </w:rPr>
            </w:pPr>
            <w:r>
              <w:rPr>
                <w:rFonts w:ascii="方正书宋_GBK" w:eastAsia="方正书宋_GBK"/>
                <w:b/>
              </w:rPr>
              <w:t>8.20</w:t>
            </w:r>
          </w:p>
        </w:tc>
        <w:tc>
          <w:tcPr>
            <w:tcW w:w="948" w:type="dxa"/>
            <w:vAlign w:val="center"/>
          </w:tcPr>
          <w:p>
            <w:pPr>
              <w:spacing w:line="300" w:lineRule="exact"/>
              <w:jc w:val="right"/>
              <w:rPr>
                <w:rFonts w:ascii="方正书宋_GBK" w:eastAsia="方正书宋_GBK"/>
                <w:b/>
              </w:rPr>
            </w:pPr>
          </w:p>
        </w:tc>
        <w:tc>
          <w:tcPr>
            <w:tcW w:w="951" w:type="dxa"/>
            <w:vAlign w:val="center"/>
          </w:tcPr>
          <w:p>
            <w:pPr>
              <w:spacing w:line="300" w:lineRule="exact"/>
              <w:jc w:val="right"/>
              <w:rPr>
                <w:rFonts w:ascii="方正书宋_GBK" w:eastAsia="方正书宋_GBK"/>
                <w:b/>
              </w:rPr>
            </w:pPr>
          </w:p>
        </w:tc>
        <w:tc>
          <w:tcPr>
            <w:tcW w:w="951" w:type="dxa"/>
            <w:vAlign w:val="center"/>
          </w:tcPr>
          <w:p>
            <w:pPr>
              <w:spacing w:line="300" w:lineRule="exact"/>
              <w:jc w:val="right"/>
              <w:rPr>
                <w:rFonts w:ascii="方正书宋_GBK" w:eastAsia="方正书宋_GBK"/>
                <w:b/>
              </w:rPr>
            </w:pPr>
          </w:p>
        </w:tc>
        <w:tc>
          <w:tcPr>
            <w:tcW w:w="908" w:type="dxa"/>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33" w:type="dxa"/>
            <w:vAlign w:val="center"/>
          </w:tcPr>
          <w:p>
            <w:pPr>
              <w:spacing w:line="300" w:lineRule="exact"/>
              <w:jc w:val="center"/>
              <w:rPr>
                <w:rFonts w:ascii="方正书宋_GBK" w:eastAsia="方正书宋_GBK"/>
                <w:b/>
              </w:rPr>
            </w:pPr>
            <w:r>
              <w:rPr>
                <w:rFonts w:hint="eastAsia" w:ascii="方正书宋_GBK" w:eastAsia="方正书宋_GBK"/>
                <w:b/>
              </w:rPr>
              <w:t>大城县人民政府办公室小计</w:t>
            </w:r>
          </w:p>
        </w:tc>
        <w:tc>
          <w:tcPr>
            <w:tcW w:w="1084" w:type="dxa"/>
            <w:vAlign w:val="center"/>
          </w:tcPr>
          <w:p>
            <w:pPr>
              <w:spacing w:line="300" w:lineRule="exact"/>
              <w:jc w:val="right"/>
              <w:rPr>
                <w:rFonts w:ascii="方正书宋_GBK" w:eastAsia="方正书宋_GBK"/>
                <w:b/>
              </w:rPr>
            </w:pPr>
          </w:p>
        </w:tc>
        <w:tc>
          <w:tcPr>
            <w:tcW w:w="959" w:type="dxa"/>
            <w:vAlign w:val="center"/>
          </w:tcPr>
          <w:p>
            <w:pPr>
              <w:spacing w:line="300" w:lineRule="exact"/>
              <w:jc w:val="left"/>
              <w:rPr>
                <w:rFonts w:ascii="方正书宋_GBK" w:eastAsia="方正书宋_GBK"/>
                <w:b/>
              </w:rPr>
            </w:pPr>
          </w:p>
        </w:tc>
        <w:tc>
          <w:tcPr>
            <w:tcW w:w="1161" w:type="dxa"/>
            <w:vAlign w:val="center"/>
          </w:tcPr>
          <w:p>
            <w:pPr>
              <w:spacing w:line="300" w:lineRule="exact"/>
              <w:jc w:val="left"/>
              <w:rPr>
                <w:rFonts w:ascii="方正书宋_GBK" w:eastAsia="方正书宋_GBK"/>
                <w:b/>
              </w:rPr>
            </w:pPr>
          </w:p>
        </w:tc>
        <w:tc>
          <w:tcPr>
            <w:tcW w:w="747" w:type="dxa"/>
            <w:vAlign w:val="center"/>
          </w:tcPr>
          <w:p>
            <w:pPr>
              <w:spacing w:line="300" w:lineRule="exact"/>
              <w:jc w:val="left"/>
              <w:rPr>
                <w:rFonts w:ascii="方正书宋_GBK" w:eastAsia="方正书宋_GBK"/>
                <w:b/>
              </w:rPr>
            </w:pPr>
          </w:p>
        </w:tc>
        <w:tc>
          <w:tcPr>
            <w:tcW w:w="747" w:type="dxa"/>
            <w:vAlign w:val="center"/>
          </w:tcPr>
          <w:p>
            <w:pPr>
              <w:spacing w:line="300" w:lineRule="exact"/>
              <w:jc w:val="right"/>
              <w:rPr>
                <w:rFonts w:ascii="方正书宋_GBK" w:eastAsia="方正书宋_GBK"/>
                <w:b/>
              </w:rPr>
            </w:pPr>
          </w:p>
        </w:tc>
        <w:tc>
          <w:tcPr>
            <w:tcW w:w="835" w:type="dxa"/>
            <w:vAlign w:val="center"/>
          </w:tcPr>
          <w:p>
            <w:pPr>
              <w:spacing w:line="300" w:lineRule="exact"/>
              <w:jc w:val="right"/>
              <w:rPr>
                <w:rFonts w:ascii="方正书宋_GBK" w:eastAsia="方正书宋_GBK"/>
                <w:b/>
              </w:rPr>
            </w:pPr>
          </w:p>
        </w:tc>
        <w:tc>
          <w:tcPr>
            <w:tcW w:w="948" w:type="dxa"/>
            <w:vAlign w:val="center"/>
          </w:tcPr>
          <w:p>
            <w:pPr>
              <w:spacing w:line="300" w:lineRule="exact"/>
              <w:jc w:val="right"/>
              <w:rPr>
                <w:rFonts w:ascii="方正书宋_GBK" w:eastAsia="方正书宋_GBK"/>
                <w:b/>
              </w:rPr>
            </w:pPr>
            <w:r>
              <w:rPr>
                <w:rFonts w:ascii="方正书宋_GBK" w:eastAsia="方正书宋_GBK"/>
                <w:b/>
              </w:rPr>
              <w:t>8.20</w:t>
            </w:r>
          </w:p>
        </w:tc>
        <w:tc>
          <w:tcPr>
            <w:tcW w:w="948" w:type="dxa"/>
            <w:vAlign w:val="center"/>
          </w:tcPr>
          <w:p>
            <w:pPr>
              <w:spacing w:line="300" w:lineRule="exact"/>
              <w:jc w:val="right"/>
              <w:rPr>
                <w:rFonts w:ascii="方正书宋_GBK" w:eastAsia="方正书宋_GBK"/>
                <w:b/>
              </w:rPr>
            </w:pPr>
            <w:r>
              <w:rPr>
                <w:rFonts w:ascii="方正书宋_GBK" w:eastAsia="方正书宋_GBK"/>
                <w:b/>
              </w:rPr>
              <w:t>8.20</w:t>
            </w:r>
          </w:p>
        </w:tc>
        <w:tc>
          <w:tcPr>
            <w:tcW w:w="948" w:type="dxa"/>
            <w:vAlign w:val="center"/>
          </w:tcPr>
          <w:p>
            <w:pPr>
              <w:spacing w:line="300" w:lineRule="exact"/>
              <w:jc w:val="right"/>
              <w:rPr>
                <w:rFonts w:ascii="方正书宋_GBK" w:eastAsia="方正书宋_GBK"/>
                <w:b/>
              </w:rPr>
            </w:pPr>
            <w:r>
              <w:rPr>
                <w:rFonts w:ascii="方正书宋_GBK" w:eastAsia="方正书宋_GBK"/>
                <w:b/>
              </w:rPr>
              <w:t>8.20</w:t>
            </w:r>
          </w:p>
        </w:tc>
        <w:tc>
          <w:tcPr>
            <w:tcW w:w="948" w:type="dxa"/>
            <w:vAlign w:val="center"/>
          </w:tcPr>
          <w:p>
            <w:pPr>
              <w:spacing w:line="300" w:lineRule="exact"/>
              <w:jc w:val="right"/>
              <w:rPr>
                <w:rFonts w:ascii="方正书宋_GBK" w:eastAsia="方正书宋_GBK"/>
                <w:b/>
              </w:rPr>
            </w:pPr>
          </w:p>
        </w:tc>
        <w:tc>
          <w:tcPr>
            <w:tcW w:w="951" w:type="dxa"/>
            <w:vAlign w:val="center"/>
          </w:tcPr>
          <w:p>
            <w:pPr>
              <w:spacing w:line="300" w:lineRule="exact"/>
              <w:jc w:val="right"/>
              <w:rPr>
                <w:rFonts w:ascii="方正书宋_GBK" w:eastAsia="方正书宋_GBK"/>
                <w:b/>
              </w:rPr>
            </w:pPr>
          </w:p>
        </w:tc>
        <w:tc>
          <w:tcPr>
            <w:tcW w:w="951" w:type="dxa"/>
            <w:vAlign w:val="center"/>
          </w:tcPr>
          <w:p>
            <w:pPr>
              <w:spacing w:line="300" w:lineRule="exact"/>
              <w:jc w:val="right"/>
              <w:rPr>
                <w:rFonts w:ascii="方正书宋_GBK" w:eastAsia="方正书宋_GBK"/>
                <w:b/>
              </w:rPr>
            </w:pPr>
          </w:p>
        </w:tc>
        <w:tc>
          <w:tcPr>
            <w:tcW w:w="908" w:type="dxa"/>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33" w:type="dxa"/>
            <w:vAlign w:val="center"/>
          </w:tcPr>
          <w:p>
            <w:pPr>
              <w:spacing w:line="300" w:lineRule="exact"/>
              <w:jc w:val="left"/>
              <w:rPr>
                <w:rFonts w:ascii="方正书宋_GBK" w:eastAsia="方正书宋_GBK"/>
              </w:rPr>
            </w:pPr>
            <w:r>
              <w:rPr>
                <w:rFonts w:hint="eastAsia" w:ascii="方正书宋_GBK" w:eastAsia="方正书宋_GBK"/>
              </w:rPr>
              <w:t>办公设备购置经费</w:t>
            </w:r>
          </w:p>
        </w:tc>
        <w:tc>
          <w:tcPr>
            <w:tcW w:w="1084" w:type="dxa"/>
            <w:vAlign w:val="center"/>
          </w:tcPr>
          <w:p>
            <w:pPr>
              <w:spacing w:line="300" w:lineRule="exact"/>
              <w:jc w:val="right"/>
              <w:rPr>
                <w:rFonts w:ascii="方正书宋_GBK" w:eastAsia="方正书宋_GBK"/>
              </w:rPr>
            </w:pPr>
            <w:r>
              <w:rPr>
                <w:rFonts w:ascii="方正书宋_GBK" w:eastAsia="方正书宋_GBK"/>
              </w:rPr>
              <w:t>11.00</w:t>
            </w:r>
          </w:p>
        </w:tc>
        <w:tc>
          <w:tcPr>
            <w:tcW w:w="959" w:type="dxa"/>
            <w:vAlign w:val="center"/>
          </w:tcPr>
          <w:p>
            <w:pPr>
              <w:spacing w:line="300" w:lineRule="exact"/>
              <w:jc w:val="left"/>
              <w:rPr>
                <w:rFonts w:ascii="方正书宋_GBK" w:eastAsia="方正书宋_GBK"/>
              </w:rPr>
            </w:pPr>
            <w:r>
              <w:rPr>
                <w:rFonts w:hint="eastAsia" w:ascii="方正书宋_GBK" w:eastAsia="方正书宋_GBK"/>
              </w:rPr>
              <w:t>计算机设备</w:t>
            </w:r>
          </w:p>
        </w:tc>
        <w:tc>
          <w:tcPr>
            <w:tcW w:w="1161" w:type="dxa"/>
            <w:vAlign w:val="center"/>
          </w:tcPr>
          <w:p>
            <w:pPr>
              <w:spacing w:line="300" w:lineRule="exact"/>
              <w:jc w:val="left"/>
              <w:rPr>
                <w:rFonts w:ascii="方正书宋_GBK" w:eastAsia="方正书宋_GBK"/>
              </w:rPr>
            </w:pPr>
            <w:r>
              <w:rPr>
                <w:rFonts w:ascii="方正书宋_GBK" w:eastAsia="方正书宋_GBK"/>
              </w:rPr>
              <w:t>A020101</w:t>
            </w:r>
          </w:p>
        </w:tc>
        <w:tc>
          <w:tcPr>
            <w:tcW w:w="747" w:type="dxa"/>
            <w:vAlign w:val="center"/>
          </w:tcPr>
          <w:p>
            <w:pPr>
              <w:spacing w:line="300" w:lineRule="exact"/>
              <w:jc w:val="left"/>
              <w:rPr>
                <w:rFonts w:ascii="方正书宋_GBK" w:eastAsia="方正书宋_GBK"/>
              </w:rPr>
            </w:pPr>
            <w:r>
              <w:rPr>
                <w:rFonts w:hint="eastAsia" w:ascii="方正书宋_GBK" w:eastAsia="方正书宋_GBK"/>
              </w:rPr>
              <w:t>台</w:t>
            </w:r>
          </w:p>
        </w:tc>
        <w:tc>
          <w:tcPr>
            <w:tcW w:w="747" w:type="dxa"/>
            <w:vAlign w:val="center"/>
          </w:tcPr>
          <w:p>
            <w:pPr>
              <w:spacing w:line="300" w:lineRule="exact"/>
              <w:jc w:val="right"/>
              <w:rPr>
                <w:rFonts w:ascii="方正书宋_GBK" w:eastAsia="方正书宋_GBK"/>
              </w:rPr>
            </w:pPr>
            <w:r>
              <w:rPr>
                <w:rFonts w:ascii="方正书宋_GBK" w:eastAsia="方正书宋_GBK"/>
              </w:rPr>
              <w:t>4.00</w:t>
            </w:r>
          </w:p>
        </w:tc>
        <w:tc>
          <w:tcPr>
            <w:tcW w:w="835" w:type="dxa"/>
            <w:vAlign w:val="center"/>
          </w:tcPr>
          <w:p>
            <w:pPr>
              <w:spacing w:line="300" w:lineRule="exact"/>
              <w:jc w:val="right"/>
              <w:rPr>
                <w:rFonts w:ascii="方正书宋_GBK" w:eastAsia="方正书宋_GBK"/>
              </w:rPr>
            </w:pPr>
            <w:r>
              <w:rPr>
                <w:rFonts w:ascii="方正书宋_GBK" w:eastAsia="方正书宋_GBK"/>
              </w:rPr>
              <w:t>0.45</w:t>
            </w:r>
          </w:p>
        </w:tc>
        <w:tc>
          <w:tcPr>
            <w:tcW w:w="948" w:type="dxa"/>
            <w:vAlign w:val="center"/>
          </w:tcPr>
          <w:p>
            <w:pPr>
              <w:spacing w:line="300" w:lineRule="exact"/>
              <w:jc w:val="right"/>
              <w:rPr>
                <w:rFonts w:ascii="方正书宋_GBK" w:eastAsia="方正书宋_GBK"/>
              </w:rPr>
            </w:pPr>
            <w:r>
              <w:rPr>
                <w:rFonts w:ascii="方正书宋_GBK" w:eastAsia="方正书宋_GBK"/>
              </w:rPr>
              <w:t>1.80</w:t>
            </w:r>
          </w:p>
        </w:tc>
        <w:tc>
          <w:tcPr>
            <w:tcW w:w="948" w:type="dxa"/>
            <w:vAlign w:val="center"/>
          </w:tcPr>
          <w:p>
            <w:pPr>
              <w:spacing w:line="300" w:lineRule="exact"/>
              <w:jc w:val="right"/>
              <w:rPr>
                <w:rFonts w:ascii="方正书宋_GBK" w:eastAsia="方正书宋_GBK"/>
              </w:rPr>
            </w:pPr>
            <w:r>
              <w:rPr>
                <w:rFonts w:ascii="方正书宋_GBK" w:eastAsia="方正书宋_GBK"/>
              </w:rPr>
              <w:t>1.80</w:t>
            </w:r>
          </w:p>
        </w:tc>
        <w:tc>
          <w:tcPr>
            <w:tcW w:w="948" w:type="dxa"/>
            <w:vAlign w:val="center"/>
          </w:tcPr>
          <w:p>
            <w:pPr>
              <w:spacing w:line="300" w:lineRule="exact"/>
              <w:jc w:val="right"/>
              <w:rPr>
                <w:rFonts w:ascii="方正书宋_GBK" w:eastAsia="方正书宋_GBK"/>
              </w:rPr>
            </w:pPr>
            <w:r>
              <w:rPr>
                <w:rFonts w:ascii="方正书宋_GBK" w:eastAsia="方正书宋_GBK"/>
              </w:rPr>
              <w:t>1.80</w:t>
            </w:r>
          </w:p>
        </w:tc>
        <w:tc>
          <w:tcPr>
            <w:tcW w:w="948" w:type="dxa"/>
            <w:vAlign w:val="center"/>
          </w:tcPr>
          <w:p>
            <w:pPr>
              <w:spacing w:line="300" w:lineRule="exact"/>
              <w:jc w:val="right"/>
              <w:rPr>
                <w:rFonts w:ascii="方正书宋_GBK" w:eastAsia="方正书宋_GBK"/>
              </w:rPr>
            </w:pPr>
          </w:p>
        </w:tc>
        <w:tc>
          <w:tcPr>
            <w:tcW w:w="951" w:type="dxa"/>
            <w:vAlign w:val="center"/>
          </w:tcPr>
          <w:p>
            <w:pPr>
              <w:spacing w:line="300" w:lineRule="exact"/>
              <w:jc w:val="right"/>
              <w:rPr>
                <w:rFonts w:ascii="方正书宋_GBK" w:eastAsia="方正书宋_GBK"/>
              </w:rPr>
            </w:pPr>
          </w:p>
        </w:tc>
        <w:tc>
          <w:tcPr>
            <w:tcW w:w="951" w:type="dxa"/>
            <w:vAlign w:val="center"/>
          </w:tcPr>
          <w:p>
            <w:pPr>
              <w:spacing w:line="300" w:lineRule="exact"/>
              <w:jc w:val="right"/>
              <w:rPr>
                <w:rFonts w:ascii="方正书宋_GBK" w:eastAsia="方正书宋_GBK"/>
              </w:rPr>
            </w:pPr>
          </w:p>
        </w:tc>
        <w:tc>
          <w:tcPr>
            <w:tcW w:w="908"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33" w:type="dxa"/>
            <w:vAlign w:val="center"/>
          </w:tcPr>
          <w:p>
            <w:pPr>
              <w:spacing w:line="300" w:lineRule="exact"/>
              <w:jc w:val="left"/>
              <w:rPr>
                <w:rFonts w:ascii="方正书宋_GBK" w:eastAsia="方正书宋_GBK"/>
              </w:rPr>
            </w:pPr>
            <w:r>
              <w:rPr>
                <w:rFonts w:hint="eastAsia" w:ascii="方正书宋_GBK" w:eastAsia="方正书宋_GBK"/>
              </w:rPr>
              <w:t>办公设备购置经费</w:t>
            </w:r>
          </w:p>
        </w:tc>
        <w:tc>
          <w:tcPr>
            <w:tcW w:w="1084" w:type="dxa"/>
            <w:vAlign w:val="center"/>
          </w:tcPr>
          <w:p>
            <w:pPr>
              <w:spacing w:line="300" w:lineRule="exact"/>
              <w:jc w:val="right"/>
              <w:rPr>
                <w:rFonts w:ascii="方正书宋_GBK" w:eastAsia="方正书宋_GBK"/>
              </w:rPr>
            </w:pPr>
            <w:r>
              <w:rPr>
                <w:rFonts w:ascii="方正书宋_GBK" w:eastAsia="方正书宋_GBK"/>
              </w:rPr>
              <w:t>11.00</w:t>
            </w:r>
          </w:p>
        </w:tc>
        <w:tc>
          <w:tcPr>
            <w:tcW w:w="959" w:type="dxa"/>
            <w:vAlign w:val="center"/>
          </w:tcPr>
          <w:p>
            <w:pPr>
              <w:spacing w:line="300" w:lineRule="exact"/>
              <w:jc w:val="left"/>
              <w:rPr>
                <w:rFonts w:ascii="方正书宋_GBK" w:eastAsia="方正书宋_GBK"/>
              </w:rPr>
            </w:pPr>
            <w:r>
              <w:rPr>
                <w:rFonts w:hint="eastAsia" w:ascii="方正书宋_GBK" w:eastAsia="方正书宋_GBK"/>
              </w:rPr>
              <w:t>计算机设备</w:t>
            </w:r>
          </w:p>
        </w:tc>
        <w:tc>
          <w:tcPr>
            <w:tcW w:w="1161" w:type="dxa"/>
            <w:vAlign w:val="center"/>
          </w:tcPr>
          <w:p>
            <w:pPr>
              <w:spacing w:line="300" w:lineRule="exact"/>
              <w:jc w:val="left"/>
              <w:rPr>
                <w:rFonts w:ascii="方正书宋_GBK" w:eastAsia="方正书宋_GBK"/>
              </w:rPr>
            </w:pPr>
            <w:r>
              <w:rPr>
                <w:rFonts w:ascii="方正书宋_GBK" w:eastAsia="方正书宋_GBK"/>
              </w:rPr>
              <w:t>A020101</w:t>
            </w:r>
          </w:p>
        </w:tc>
        <w:tc>
          <w:tcPr>
            <w:tcW w:w="747" w:type="dxa"/>
            <w:vAlign w:val="center"/>
          </w:tcPr>
          <w:p>
            <w:pPr>
              <w:spacing w:line="300" w:lineRule="exact"/>
              <w:jc w:val="left"/>
              <w:rPr>
                <w:rFonts w:ascii="方正书宋_GBK" w:eastAsia="方正书宋_GBK"/>
              </w:rPr>
            </w:pPr>
            <w:r>
              <w:rPr>
                <w:rFonts w:hint="eastAsia" w:ascii="方正书宋_GBK" w:eastAsia="方正书宋_GBK"/>
              </w:rPr>
              <w:t>台</w:t>
            </w:r>
          </w:p>
        </w:tc>
        <w:tc>
          <w:tcPr>
            <w:tcW w:w="747" w:type="dxa"/>
            <w:vAlign w:val="center"/>
          </w:tcPr>
          <w:p>
            <w:pPr>
              <w:spacing w:line="300" w:lineRule="exact"/>
              <w:jc w:val="right"/>
              <w:rPr>
                <w:rFonts w:ascii="方正书宋_GBK" w:eastAsia="方正书宋_GBK"/>
              </w:rPr>
            </w:pPr>
            <w:r>
              <w:rPr>
                <w:rFonts w:ascii="方正书宋_GBK" w:eastAsia="方正书宋_GBK"/>
              </w:rPr>
              <w:t>4.00</w:t>
            </w:r>
          </w:p>
        </w:tc>
        <w:tc>
          <w:tcPr>
            <w:tcW w:w="835" w:type="dxa"/>
            <w:vAlign w:val="center"/>
          </w:tcPr>
          <w:p>
            <w:pPr>
              <w:spacing w:line="300" w:lineRule="exact"/>
              <w:jc w:val="right"/>
              <w:rPr>
                <w:rFonts w:ascii="方正书宋_GBK" w:eastAsia="方正书宋_GBK"/>
              </w:rPr>
            </w:pPr>
            <w:r>
              <w:rPr>
                <w:rFonts w:ascii="方正书宋_GBK" w:eastAsia="方正书宋_GBK"/>
              </w:rPr>
              <w:t>0.60</w:t>
            </w:r>
          </w:p>
        </w:tc>
        <w:tc>
          <w:tcPr>
            <w:tcW w:w="948" w:type="dxa"/>
            <w:vAlign w:val="center"/>
          </w:tcPr>
          <w:p>
            <w:pPr>
              <w:spacing w:line="300" w:lineRule="exact"/>
              <w:jc w:val="right"/>
              <w:rPr>
                <w:rFonts w:ascii="方正书宋_GBK" w:eastAsia="方正书宋_GBK"/>
              </w:rPr>
            </w:pPr>
            <w:r>
              <w:rPr>
                <w:rFonts w:ascii="方正书宋_GBK" w:eastAsia="方正书宋_GBK"/>
              </w:rPr>
              <w:t>2.40</w:t>
            </w:r>
          </w:p>
        </w:tc>
        <w:tc>
          <w:tcPr>
            <w:tcW w:w="948" w:type="dxa"/>
            <w:vAlign w:val="center"/>
          </w:tcPr>
          <w:p>
            <w:pPr>
              <w:spacing w:line="300" w:lineRule="exact"/>
              <w:jc w:val="right"/>
              <w:rPr>
                <w:rFonts w:ascii="方正书宋_GBK" w:eastAsia="方正书宋_GBK"/>
              </w:rPr>
            </w:pPr>
            <w:r>
              <w:rPr>
                <w:rFonts w:ascii="方正书宋_GBK" w:eastAsia="方正书宋_GBK"/>
              </w:rPr>
              <w:t>2.40</w:t>
            </w:r>
          </w:p>
        </w:tc>
        <w:tc>
          <w:tcPr>
            <w:tcW w:w="948" w:type="dxa"/>
            <w:vAlign w:val="center"/>
          </w:tcPr>
          <w:p>
            <w:pPr>
              <w:spacing w:line="300" w:lineRule="exact"/>
              <w:jc w:val="right"/>
              <w:rPr>
                <w:rFonts w:ascii="方正书宋_GBK" w:eastAsia="方正书宋_GBK"/>
              </w:rPr>
            </w:pPr>
            <w:r>
              <w:rPr>
                <w:rFonts w:ascii="方正书宋_GBK" w:eastAsia="方正书宋_GBK"/>
              </w:rPr>
              <w:t>2.40</w:t>
            </w:r>
          </w:p>
        </w:tc>
        <w:tc>
          <w:tcPr>
            <w:tcW w:w="948" w:type="dxa"/>
            <w:vAlign w:val="center"/>
          </w:tcPr>
          <w:p>
            <w:pPr>
              <w:spacing w:line="300" w:lineRule="exact"/>
              <w:jc w:val="right"/>
              <w:rPr>
                <w:rFonts w:ascii="方正书宋_GBK" w:eastAsia="方正书宋_GBK"/>
              </w:rPr>
            </w:pPr>
          </w:p>
        </w:tc>
        <w:tc>
          <w:tcPr>
            <w:tcW w:w="951" w:type="dxa"/>
            <w:vAlign w:val="center"/>
          </w:tcPr>
          <w:p>
            <w:pPr>
              <w:spacing w:line="300" w:lineRule="exact"/>
              <w:jc w:val="right"/>
              <w:rPr>
                <w:rFonts w:ascii="方正书宋_GBK" w:eastAsia="方正书宋_GBK"/>
              </w:rPr>
            </w:pPr>
          </w:p>
        </w:tc>
        <w:tc>
          <w:tcPr>
            <w:tcW w:w="951" w:type="dxa"/>
            <w:vAlign w:val="center"/>
          </w:tcPr>
          <w:p>
            <w:pPr>
              <w:spacing w:line="300" w:lineRule="exact"/>
              <w:jc w:val="right"/>
              <w:rPr>
                <w:rFonts w:ascii="方正书宋_GBK" w:eastAsia="方正书宋_GBK"/>
              </w:rPr>
            </w:pPr>
          </w:p>
        </w:tc>
        <w:tc>
          <w:tcPr>
            <w:tcW w:w="908"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33" w:type="dxa"/>
            <w:vAlign w:val="center"/>
          </w:tcPr>
          <w:p>
            <w:pPr>
              <w:spacing w:line="300" w:lineRule="exact"/>
              <w:jc w:val="left"/>
              <w:rPr>
                <w:rFonts w:ascii="方正书宋_GBK" w:eastAsia="方正书宋_GBK"/>
              </w:rPr>
            </w:pPr>
            <w:r>
              <w:rPr>
                <w:rFonts w:hint="eastAsia" w:ascii="方正书宋_GBK" w:eastAsia="方正书宋_GBK"/>
              </w:rPr>
              <w:t>办公设备购置经费</w:t>
            </w:r>
          </w:p>
        </w:tc>
        <w:tc>
          <w:tcPr>
            <w:tcW w:w="1084" w:type="dxa"/>
            <w:vAlign w:val="center"/>
          </w:tcPr>
          <w:p>
            <w:pPr>
              <w:spacing w:line="300" w:lineRule="exact"/>
              <w:jc w:val="right"/>
              <w:rPr>
                <w:rFonts w:ascii="方正书宋_GBK" w:eastAsia="方正书宋_GBK"/>
              </w:rPr>
            </w:pPr>
            <w:r>
              <w:rPr>
                <w:rFonts w:ascii="方正书宋_GBK" w:eastAsia="方正书宋_GBK"/>
              </w:rPr>
              <w:t>11.00</w:t>
            </w:r>
          </w:p>
        </w:tc>
        <w:tc>
          <w:tcPr>
            <w:tcW w:w="959" w:type="dxa"/>
            <w:vAlign w:val="center"/>
          </w:tcPr>
          <w:p>
            <w:pPr>
              <w:spacing w:line="300" w:lineRule="exact"/>
              <w:jc w:val="left"/>
              <w:rPr>
                <w:rFonts w:ascii="方正书宋_GBK" w:eastAsia="方正书宋_GBK"/>
              </w:rPr>
            </w:pPr>
            <w:r>
              <w:rPr>
                <w:rFonts w:hint="eastAsia" w:ascii="方正书宋_GBK" w:eastAsia="方正书宋_GBK"/>
              </w:rPr>
              <w:t>打印设备</w:t>
            </w:r>
          </w:p>
        </w:tc>
        <w:tc>
          <w:tcPr>
            <w:tcW w:w="1161" w:type="dxa"/>
            <w:vAlign w:val="center"/>
          </w:tcPr>
          <w:p>
            <w:pPr>
              <w:spacing w:line="300" w:lineRule="exact"/>
              <w:jc w:val="left"/>
              <w:rPr>
                <w:rFonts w:ascii="方正书宋_GBK" w:eastAsia="方正书宋_GBK"/>
              </w:rPr>
            </w:pPr>
            <w:r>
              <w:rPr>
                <w:rFonts w:ascii="方正书宋_GBK" w:eastAsia="方正书宋_GBK"/>
              </w:rPr>
              <w:t>A02010601</w:t>
            </w:r>
          </w:p>
        </w:tc>
        <w:tc>
          <w:tcPr>
            <w:tcW w:w="747" w:type="dxa"/>
            <w:vAlign w:val="center"/>
          </w:tcPr>
          <w:p>
            <w:pPr>
              <w:spacing w:line="300" w:lineRule="exact"/>
              <w:jc w:val="left"/>
              <w:rPr>
                <w:rFonts w:ascii="方正书宋_GBK" w:eastAsia="方正书宋_GBK"/>
              </w:rPr>
            </w:pPr>
            <w:r>
              <w:rPr>
                <w:rFonts w:hint="eastAsia" w:ascii="方正书宋_GBK" w:eastAsia="方正书宋_GBK"/>
              </w:rPr>
              <w:t>台</w:t>
            </w:r>
          </w:p>
        </w:tc>
        <w:tc>
          <w:tcPr>
            <w:tcW w:w="747" w:type="dxa"/>
            <w:vAlign w:val="center"/>
          </w:tcPr>
          <w:p>
            <w:pPr>
              <w:spacing w:line="300" w:lineRule="exact"/>
              <w:jc w:val="right"/>
              <w:rPr>
                <w:rFonts w:ascii="方正书宋_GBK" w:eastAsia="方正书宋_GBK"/>
              </w:rPr>
            </w:pPr>
            <w:r>
              <w:rPr>
                <w:rFonts w:ascii="方正书宋_GBK" w:eastAsia="方正书宋_GBK"/>
              </w:rPr>
              <w:t>2.00</w:t>
            </w:r>
          </w:p>
        </w:tc>
        <w:tc>
          <w:tcPr>
            <w:tcW w:w="835" w:type="dxa"/>
            <w:vAlign w:val="center"/>
          </w:tcPr>
          <w:p>
            <w:pPr>
              <w:spacing w:line="300" w:lineRule="exact"/>
              <w:jc w:val="right"/>
              <w:rPr>
                <w:rFonts w:ascii="方正书宋_GBK" w:eastAsia="方正书宋_GBK"/>
              </w:rPr>
            </w:pPr>
            <w:r>
              <w:rPr>
                <w:rFonts w:ascii="方正书宋_GBK" w:eastAsia="方正书宋_GBK"/>
              </w:rPr>
              <w:t>0.25</w:t>
            </w:r>
          </w:p>
        </w:tc>
        <w:tc>
          <w:tcPr>
            <w:tcW w:w="948" w:type="dxa"/>
            <w:vAlign w:val="center"/>
          </w:tcPr>
          <w:p>
            <w:pPr>
              <w:spacing w:line="300" w:lineRule="exact"/>
              <w:jc w:val="right"/>
              <w:rPr>
                <w:rFonts w:ascii="方正书宋_GBK" w:eastAsia="方正书宋_GBK"/>
              </w:rPr>
            </w:pPr>
            <w:r>
              <w:rPr>
                <w:rFonts w:ascii="方正书宋_GBK" w:eastAsia="方正书宋_GBK"/>
              </w:rPr>
              <w:t>0.50</w:t>
            </w:r>
          </w:p>
        </w:tc>
        <w:tc>
          <w:tcPr>
            <w:tcW w:w="948" w:type="dxa"/>
            <w:vAlign w:val="center"/>
          </w:tcPr>
          <w:p>
            <w:pPr>
              <w:spacing w:line="300" w:lineRule="exact"/>
              <w:jc w:val="right"/>
              <w:rPr>
                <w:rFonts w:ascii="方正书宋_GBK" w:eastAsia="方正书宋_GBK"/>
              </w:rPr>
            </w:pPr>
            <w:r>
              <w:rPr>
                <w:rFonts w:ascii="方正书宋_GBK" w:eastAsia="方正书宋_GBK"/>
              </w:rPr>
              <w:t>0.50</w:t>
            </w:r>
          </w:p>
        </w:tc>
        <w:tc>
          <w:tcPr>
            <w:tcW w:w="948" w:type="dxa"/>
            <w:vAlign w:val="center"/>
          </w:tcPr>
          <w:p>
            <w:pPr>
              <w:spacing w:line="300" w:lineRule="exact"/>
              <w:jc w:val="right"/>
              <w:rPr>
                <w:rFonts w:ascii="方正书宋_GBK" w:eastAsia="方正书宋_GBK"/>
              </w:rPr>
            </w:pPr>
            <w:r>
              <w:rPr>
                <w:rFonts w:ascii="方正书宋_GBK" w:eastAsia="方正书宋_GBK"/>
              </w:rPr>
              <w:t>0.50</w:t>
            </w:r>
          </w:p>
        </w:tc>
        <w:tc>
          <w:tcPr>
            <w:tcW w:w="948" w:type="dxa"/>
            <w:vAlign w:val="center"/>
          </w:tcPr>
          <w:p>
            <w:pPr>
              <w:spacing w:line="300" w:lineRule="exact"/>
              <w:jc w:val="right"/>
              <w:rPr>
                <w:rFonts w:ascii="方正书宋_GBK" w:eastAsia="方正书宋_GBK"/>
              </w:rPr>
            </w:pPr>
          </w:p>
        </w:tc>
        <w:tc>
          <w:tcPr>
            <w:tcW w:w="951" w:type="dxa"/>
            <w:vAlign w:val="center"/>
          </w:tcPr>
          <w:p>
            <w:pPr>
              <w:spacing w:line="300" w:lineRule="exact"/>
              <w:jc w:val="right"/>
              <w:rPr>
                <w:rFonts w:ascii="方正书宋_GBK" w:eastAsia="方正书宋_GBK"/>
              </w:rPr>
            </w:pPr>
          </w:p>
        </w:tc>
        <w:tc>
          <w:tcPr>
            <w:tcW w:w="951" w:type="dxa"/>
            <w:vAlign w:val="center"/>
          </w:tcPr>
          <w:p>
            <w:pPr>
              <w:spacing w:line="300" w:lineRule="exact"/>
              <w:jc w:val="right"/>
              <w:rPr>
                <w:rFonts w:ascii="方正书宋_GBK" w:eastAsia="方正书宋_GBK"/>
              </w:rPr>
            </w:pPr>
          </w:p>
        </w:tc>
        <w:tc>
          <w:tcPr>
            <w:tcW w:w="908"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33" w:type="dxa"/>
            <w:vAlign w:val="center"/>
          </w:tcPr>
          <w:p>
            <w:pPr>
              <w:spacing w:line="300" w:lineRule="exact"/>
              <w:jc w:val="left"/>
              <w:rPr>
                <w:rFonts w:ascii="方正书宋_GBK" w:eastAsia="方正书宋_GBK"/>
              </w:rPr>
            </w:pPr>
            <w:r>
              <w:rPr>
                <w:rFonts w:hint="eastAsia" w:ascii="方正书宋_GBK" w:eastAsia="方正书宋_GBK"/>
              </w:rPr>
              <w:t>办公设备购置经费</w:t>
            </w:r>
          </w:p>
        </w:tc>
        <w:tc>
          <w:tcPr>
            <w:tcW w:w="1084" w:type="dxa"/>
            <w:vAlign w:val="center"/>
          </w:tcPr>
          <w:p>
            <w:pPr>
              <w:spacing w:line="300" w:lineRule="exact"/>
              <w:jc w:val="right"/>
              <w:rPr>
                <w:rFonts w:ascii="方正书宋_GBK" w:eastAsia="方正书宋_GBK"/>
              </w:rPr>
            </w:pPr>
            <w:r>
              <w:rPr>
                <w:rFonts w:ascii="方正书宋_GBK" w:eastAsia="方正书宋_GBK"/>
              </w:rPr>
              <w:t>11.00</w:t>
            </w:r>
          </w:p>
        </w:tc>
        <w:tc>
          <w:tcPr>
            <w:tcW w:w="959" w:type="dxa"/>
            <w:vAlign w:val="center"/>
          </w:tcPr>
          <w:p>
            <w:pPr>
              <w:spacing w:line="300" w:lineRule="exact"/>
              <w:jc w:val="left"/>
              <w:rPr>
                <w:rFonts w:ascii="方正书宋_GBK" w:eastAsia="方正书宋_GBK"/>
              </w:rPr>
            </w:pPr>
            <w:r>
              <w:rPr>
                <w:rFonts w:hint="eastAsia" w:ascii="方正书宋_GBK" w:eastAsia="方正书宋_GBK"/>
              </w:rPr>
              <w:t>多功能一体机</w:t>
            </w:r>
          </w:p>
        </w:tc>
        <w:tc>
          <w:tcPr>
            <w:tcW w:w="1161" w:type="dxa"/>
            <w:vAlign w:val="center"/>
          </w:tcPr>
          <w:p>
            <w:pPr>
              <w:spacing w:line="300" w:lineRule="exact"/>
              <w:jc w:val="left"/>
              <w:rPr>
                <w:rFonts w:ascii="方正书宋_GBK" w:eastAsia="方正书宋_GBK"/>
              </w:rPr>
            </w:pPr>
            <w:r>
              <w:rPr>
                <w:rFonts w:ascii="方正书宋_GBK" w:eastAsia="方正书宋_GBK"/>
              </w:rPr>
              <w:t>A020204</w:t>
            </w:r>
          </w:p>
        </w:tc>
        <w:tc>
          <w:tcPr>
            <w:tcW w:w="747" w:type="dxa"/>
            <w:vAlign w:val="center"/>
          </w:tcPr>
          <w:p>
            <w:pPr>
              <w:spacing w:line="300" w:lineRule="exact"/>
              <w:jc w:val="left"/>
              <w:rPr>
                <w:rFonts w:ascii="方正书宋_GBK" w:eastAsia="方正书宋_GBK"/>
              </w:rPr>
            </w:pPr>
            <w:r>
              <w:rPr>
                <w:rFonts w:hint="eastAsia" w:ascii="方正书宋_GBK" w:eastAsia="方正书宋_GBK"/>
              </w:rPr>
              <w:t>台</w:t>
            </w:r>
          </w:p>
        </w:tc>
        <w:tc>
          <w:tcPr>
            <w:tcW w:w="747" w:type="dxa"/>
            <w:vAlign w:val="center"/>
          </w:tcPr>
          <w:p>
            <w:pPr>
              <w:spacing w:line="300" w:lineRule="exact"/>
              <w:jc w:val="right"/>
              <w:rPr>
                <w:rFonts w:ascii="方正书宋_GBK" w:eastAsia="方正书宋_GBK"/>
              </w:rPr>
            </w:pPr>
            <w:r>
              <w:rPr>
                <w:rFonts w:ascii="方正书宋_GBK" w:eastAsia="方正书宋_GBK"/>
              </w:rPr>
              <w:t>1.00</w:t>
            </w:r>
          </w:p>
        </w:tc>
        <w:tc>
          <w:tcPr>
            <w:tcW w:w="835" w:type="dxa"/>
            <w:vAlign w:val="center"/>
          </w:tcPr>
          <w:p>
            <w:pPr>
              <w:spacing w:line="300" w:lineRule="exact"/>
              <w:jc w:val="right"/>
              <w:rPr>
                <w:rFonts w:ascii="方正书宋_GBK" w:eastAsia="方正书宋_GBK"/>
              </w:rPr>
            </w:pPr>
            <w:r>
              <w:rPr>
                <w:rFonts w:ascii="方正书宋_GBK" w:eastAsia="方正书宋_GBK"/>
              </w:rPr>
              <w:t>3.50</w:t>
            </w:r>
          </w:p>
        </w:tc>
        <w:tc>
          <w:tcPr>
            <w:tcW w:w="948" w:type="dxa"/>
            <w:vAlign w:val="center"/>
          </w:tcPr>
          <w:p>
            <w:pPr>
              <w:spacing w:line="300" w:lineRule="exact"/>
              <w:jc w:val="right"/>
              <w:rPr>
                <w:rFonts w:ascii="方正书宋_GBK" w:eastAsia="方正书宋_GBK"/>
              </w:rPr>
            </w:pPr>
            <w:r>
              <w:rPr>
                <w:rFonts w:ascii="方正书宋_GBK" w:eastAsia="方正书宋_GBK"/>
              </w:rPr>
              <w:t>3.50</w:t>
            </w:r>
          </w:p>
        </w:tc>
        <w:tc>
          <w:tcPr>
            <w:tcW w:w="948" w:type="dxa"/>
            <w:vAlign w:val="center"/>
          </w:tcPr>
          <w:p>
            <w:pPr>
              <w:spacing w:line="300" w:lineRule="exact"/>
              <w:jc w:val="right"/>
              <w:rPr>
                <w:rFonts w:ascii="方正书宋_GBK" w:eastAsia="方正书宋_GBK"/>
              </w:rPr>
            </w:pPr>
            <w:r>
              <w:rPr>
                <w:rFonts w:ascii="方正书宋_GBK" w:eastAsia="方正书宋_GBK"/>
              </w:rPr>
              <w:t>3.50</w:t>
            </w:r>
          </w:p>
        </w:tc>
        <w:tc>
          <w:tcPr>
            <w:tcW w:w="948" w:type="dxa"/>
            <w:vAlign w:val="center"/>
          </w:tcPr>
          <w:p>
            <w:pPr>
              <w:spacing w:line="300" w:lineRule="exact"/>
              <w:jc w:val="right"/>
              <w:rPr>
                <w:rFonts w:ascii="方正书宋_GBK" w:eastAsia="方正书宋_GBK"/>
              </w:rPr>
            </w:pPr>
            <w:r>
              <w:rPr>
                <w:rFonts w:ascii="方正书宋_GBK" w:eastAsia="方正书宋_GBK"/>
              </w:rPr>
              <w:t>3.50</w:t>
            </w:r>
          </w:p>
        </w:tc>
        <w:tc>
          <w:tcPr>
            <w:tcW w:w="948" w:type="dxa"/>
            <w:vAlign w:val="center"/>
          </w:tcPr>
          <w:p>
            <w:pPr>
              <w:spacing w:line="300" w:lineRule="exact"/>
              <w:jc w:val="right"/>
              <w:rPr>
                <w:rFonts w:ascii="方正书宋_GBK" w:eastAsia="方正书宋_GBK"/>
              </w:rPr>
            </w:pPr>
          </w:p>
        </w:tc>
        <w:tc>
          <w:tcPr>
            <w:tcW w:w="951" w:type="dxa"/>
            <w:vAlign w:val="center"/>
          </w:tcPr>
          <w:p>
            <w:pPr>
              <w:spacing w:line="300" w:lineRule="exact"/>
              <w:jc w:val="right"/>
              <w:rPr>
                <w:rFonts w:ascii="方正书宋_GBK" w:eastAsia="方正书宋_GBK"/>
              </w:rPr>
            </w:pPr>
          </w:p>
        </w:tc>
        <w:tc>
          <w:tcPr>
            <w:tcW w:w="951" w:type="dxa"/>
            <w:vAlign w:val="center"/>
          </w:tcPr>
          <w:p>
            <w:pPr>
              <w:spacing w:line="300" w:lineRule="exact"/>
              <w:jc w:val="right"/>
              <w:rPr>
                <w:rFonts w:ascii="方正书宋_GBK" w:eastAsia="方正书宋_GBK"/>
              </w:rPr>
            </w:pPr>
          </w:p>
        </w:tc>
        <w:tc>
          <w:tcPr>
            <w:tcW w:w="908" w:type="dxa"/>
            <w:vAlign w:val="center"/>
          </w:tcPr>
          <w:p>
            <w:pPr>
              <w:spacing w:line="300" w:lineRule="exact"/>
              <w:jc w:val="right"/>
              <w:rPr>
                <w:rFonts w:ascii="方正书宋_GBK" w:eastAsia="方正书宋_GBK"/>
              </w:rPr>
            </w:pPr>
          </w:p>
        </w:tc>
      </w:tr>
    </w:tbl>
    <w:p>
      <w:pPr>
        <w:spacing w:line="300" w:lineRule="exact"/>
        <w:jc w:val="left"/>
        <w:outlineLvl w:val="0"/>
        <w:sectPr>
          <w:pgSz w:w="16839" w:h="11907" w:orient="landscape"/>
          <w:pgMar w:top="1361" w:right="1020" w:bottom="1361" w:left="1020" w:header="851" w:footer="992" w:gutter="0"/>
          <w:cols w:space="425" w:num="1"/>
          <w:docGrid w:type="lines" w:linePitch="312" w:charSpace="0"/>
        </w:sectPr>
      </w:pPr>
    </w:p>
    <w:bookmarkEnd w:id="4"/>
    <w:p>
      <w:pPr>
        <w:autoSpaceDE w:val="0"/>
        <w:autoSpaceDN w:val="0"/>
        <w:adjustRightInd w:val="0"/>
        <w:spacing w:line="584" w:lineRule="exact"/>
        <w:ind w:firstLine="640" w:firstLineChars="200"/>
        <w:jc w:val="left"/>
        <w:rPr>
          <w:rFonts w:ascii="Times New Roman" w:hAnsi="Times New Roman" w:eastAsia="黑体"/>
          <w:sz w:val="32"/>
          <w:szCs w:val="32"/>
        </w:rPr>
      </w:pPr>
      <w:r>
        <w:rPr>
          <w:rFonts w:hint="eastAsia" w:ascii="Times New Roman" w:hAnsi="黑体" w:eastAsia="黑体"/>
          <w:sz w:val="32"/>
          <w:szCs w:val="32"/>
        </w:rPr>
        <w:t>七、国有资产信息</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大城县人民政府办公室（含所属单位）上年末固定资产金额为万元，本年度各单位（科室）拟购置固定资产主要为8.20万元，计算机设备、打印设备、空调、办公家具等，已列入政府采购预算。详见下表。</w:t>
      </w: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vAlign w:val="center"/>
          </w:tcPr>
          <w:p>
            <w:pPr>
              <w:widowControl/>
              <w:spacing w:line="584" w:lineRule="exact"/>
              <w:jc w:val="center"/>
              <w:rPr>
                <w:rFonts w:ascii="Times New Roman" w:hAnsi="Times New Roman" w:eastAsia="仿宋_GB2312"/>
                <w:b/>
                <w:bCs/>
                <w:kern w:val="0"/>
                <w:sz w:val="32"/>
                <w:szCs w:val="32"/>
              </w:rPr>
            </w:pPr>
            <w:r>
              <w:rPr>
                <w:rFonts w:hint="eastAsia" w:ascii="宋体" w:hAnsi="宋体" w:cs="宋体"/>
                <w:b/>
                <w:bCs/>
                <w:kern w:val="0"/>
                <w:sz w:val="32"/>
                <w:szCs w:val="32"/>
              </w:rPr>
              <w:t>大城县</w:t>
            </w:r>
            <w:r>
              <w:rPr>
                <w:rFonts w:hint="eastAsia" w:ascii="黑体" w:hAnsi="黑体" w:eastAsia="黑体" w:cs="宋体"/>
                <w:kern w:val="0"/>
                <w:sz w:val="32"/>
                <w:szCs w:val="32"/>
              </w:rPr>
              <w:t>人民政府办公室</w:t>
            </w:r>
            <w:r>
              <w:rPr>
                <w:rFonts w:hint="eastAsia" w:ascii="宋体" w:hAnsi="宋体" w:cs="宋体"/>
                <w:b/>
                <w:bCs/>
                <w:kern w:val="0"/>
                <w:sz w:val="32"/>
                <w:szCs w:val="32"/>
              </w:rPr>
              <w:t>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vAlign w:val="center"/>
          </w:tcPr>
          <w:p>
            <w:pPr>
              <w:widowControl/>
              <w:spacing w:line="584" w:lineRule="exact"/>
              <w:jc w:val="left"/>
              <w:rPr>
                <w:rFonts w:ascii="Times New Roman" w:hAnsi="Times New Roman" w:eastAsia="仿宋_GB2312"/>
                <w:kern w:val="0"/>
                <w:sz w:val="22"/>
              </w:rPr>
            </w:pPr>
            <w:r>
              <w:rPr>
                <w:rFonts w:hint="eastAsia" w:ascii="Times New Roman" w:hAnsi="Times New Roman" w:eastAsia="仿宋_GB2312"/>
                <w:kern w:val="0"/>
                <w:sz w:val="22"/>
              </w:rPr>
              <w:t>编制部门：大城县人民政府办公室</w:t>
            </w:r>
          </w:p>
        </w:tc>
        <w:tc>
          <w:tcPr>
            <w:tcW w:w="5103" w:type="dxa"/>
            <w:tcBorders>
              <w:top w:val="nil"/>
              <w:left w:val="nil"/>
              <w:bottom w:val="nil"/>
              <w:right w:val="nil"/>
            </w:tcBorders>
            <w:vAlign w:val="center"/>
          </w:tcPr>
          <w:p>
            <w:pPr>
              <w:widowControl/>
              <w:spacing w:line="584" w:lineRule="exact"/>
              <w:jc w:val="left"/>
              <w:rPr>
                <w:rFonts w:ascii="Times New Roman" w:hAnsi="Times New Roman" w:eastAsia="仿宋_GB2312"/>
                <w:kern w:val="0"/>
                <w:sz w:val="22"/>
              </w:rPr>
            </w:pPr>
            <w:r>
              <w:rPr>
                <w:rFonts w:hint="eastAsia" w:ascii="Times New Roman" w:hAnsi="Times New Roman" w:eastAsia="仿宋_GB2312"/>
                <w:kern w:val="0"/>
                <w:sz w:val="22"/>
              </w:rPr>
              <w:t>截止时间：</w:t>
            </w:r>
            <w:r>
              <w:rPr>
                <w:rFonts w:ascii="Times New Roman" w:hAnsi="Times New Roman" w:eastAsia="仿宋_GB2312"/>
                <w:kern w:val="0"/>
                <w:sz w:val="22"/>
              </w:rPr>
              <w:t>2018</w:t>
            </w:r>
            <w:r>
              <w:rPr>
                <w:rFonts w:hint="eastAsia" w:ascii="Times New Roman" w:hAnsi="Times New Roman" w:eastAsia="仿宋_GB2312"/>
                <w:kern w:val="0"/>
                <w:sz w:val="22"/>
              </w:rPr>
              <w:t>年</w:t>
            </w:r>
            <w:r>
              <w:rPr>
                <w:rFonts w:ascii="Times New Roman" w:hAnsi="Times New Roman" w:eastAsia="仿宋_GB2312"/>
                <w:kern w:val="0"/>
                <w:sz w:val="22"/>
              </w:rPr>
              <w:t>12</w:t>
            </w:r>
            <w:r>
              <w:rPr>
                <w:rFonts w:hint="eastAsia" w:ascii="Times New Roman" w:hAnsi="Times New Roman" w:eastAsia="仿宋_GB2312"/>
                <w:kern w:val="0"/>
                <w:sz w:val="22"/>
              </w:rPr>
              <w:t>月</w:t>
            </w:r>
            <w:r>
              <w:rPr>
                <w:rFonts w:ascii="Times New Roman" w:hAnsi="Times New Roman" w:eastAsia="仿宋_GB2312"/>
                <w:kern w:val="0"/>
                <w:sz w:val="22"/>
              </w:rPr>
              <w:t>31</w:t>
            </w:r>
            <w:r>
              <w:rPr>
                <w:rFonts w:hint="eastAsia" w:ascii="Times New Roman" w:hAnsi="Times New Roman" w:eastAsia="仿宋_GB2312"/>
                <w:kern w:val="0"/>
                <w:sz w:val="22"/>
              </w:rPr>
              <w:t>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b/>
                <w:bCs/>
                <w:kern w:val="0"/>
                <w:sz w:val="22"/>
              </w:rPr>
            </w:pPr>
            <w:r>
              <w:rPr>
                <w:rFonts w:hint="eastAsia" w:ascii="Times New Roman" w:hAnsi="Times New Roman" w:eastAsia="仿宋_GB2312"/>
                <w:b/>
                <w:bCs/>
                <w:kern w:val="0"/>
                <w:sz w:val="22"/>
              </w:rPr>
              <w:t>项目</w:t>
            </w:r>
          </w:p>
        </w:tc>
        <w:tc>
          <w:tcPr>
            <w:tcW w:w="3155" w:type="dxa"/>
            <w:tcBorders>
              <w:top w:val="single" w:color="auto" w:sz="4" w:space="0"/>
              <w:left w:val="nil"/>
              <w:bottom w:val="single" w:color="auto" w:sz="4" w:space="0"/>
              <w:right w:val="single" w:color="auto" w:sz="4" w:space="0"/>
            </w:tcBorders>
            <w:vAlign w:val="center"/>
          </w:tcPr>
          <w:p>
            <w:pPr>
              <w:widowControl/>
              <w:spacing w:line="584" w:lineRule="exact"/>
              <w:jc w:val="center"/>
              <w:rPr>
                <w:rFonts w:ascii="Times New Roman" w:hAnsi="Times New Roman" w:eastAsia="仿宋_GB2312"/>
                <w:b/>
                <w:bCs/>
                <w:kern w:val="0"/>
                <w:sz w:val="22"/>
              </w:rPr>
            </w:pPr>
            <w:r>
              <w:rPr>
                <w:rFonts w:hint="eastAsia" w:ascii="Times New Roman" w:hAnsi="Times New Roman" w:eastAsia="仿宋_GB2312"/>
                <w:b/>
                <w:bCs/>
                <w:kern w:val="0"/>
                <w:sz w:val="22"/>
              </w:rPr>
              <w:t>数量</w:t>
            </w:r>
          </w:p>
        </w:tc>
        <w:tc>
          <w:tcPr>
            <w:tcW w:w="5103" w:type="dxa"/>
            <w:tcBorders>
              <w:top w:val="single" w:color="auto" w:sz="4" w:space="0"/>
              <w:left w:val="nil"/>
              <w:bottom w:val="single" w:color="auto" w:sz="4" w:space="0"/>
              <w:right w:val="single" w:color="auto" w:sz="4" w:space="0"/>
            </w:tcBorders>
            <w:vAlign w:val="center"/>
          </w:tcPr>
          <w:p>
            <w:pPr>
              <w:widowControl/>
              <w:spacing w:line="584" w:lineRule="exact"/>
              <w:jc w:val="center"/>
              <w:rPr>
                <w:rFonts w:ascii="Times New Roman" w:hAnsi="Times New Roman" w:eastAsia="仿宋_GB2312"/>
                <w:b/>
                <w:bCs/>
                <w:kern w:val="0"/>
                <w:sz w:val="22"/>
              </w:rPr>
            </w:pPr>
            <w:r>
              <w:rPr>
                <w:rFonts w:hint="eastAsia" w:ascii="Times New Roman" w:hAnsi="Times New Roman" w:eastAsia="仿宋_GB2312"/>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kern w:val="0"/>
                <w:sz w:val="22"/>
              </w:rPr>
            </w:pPr>
            <w:r>
              <w:rPr>
                <w:rFonts w:hint="eastAsia" w:ascii="Times New Roman" w:hAnsi="Times New Roman" w:eastAsia="仿宋_GB2312"/>
                <w:kern w:val="0"/>
                <w:sz w:val="22"/>
              </w:rPr>
              <w:t>资产总额</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sz w:val="22"/>
              </w:rPr>
            </w:pPr>
            <w:r>
              <w:rPr>
                <w:rFonts w:ascii="Times New Roman" w:hAnsi="Times New Roman" w:eastAsia="仿宋_GB2312"/>
                <w:sz w:val="22"/>
              </w:rPr>
              <w:t>——</w:t>
            </w:r>
          </w:p>
        </w:tc>
        <w:tc>
          <w:tcPr>
            <w:tcW w:w="5103"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sz w:val="22"/>
              </w:rPr>
            </w:pPr>
            <w:r>
              <w:rPr>
                <w:rFonts w:ascii="Times New Roman" w:hAnsi="Times New Roman" w:eastAsia="仿宋_GB2312"/>
                <w:sz w:val="22"/>
              </w:rPr>
              <w:t>496.41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left"/>
              <w:rPr>
                <w:rFonts w:ascii="Times New Roman" w:hAnsi="Times New Roman" w:eastAsia="仿宋_GB2312"/>
                <w:kern w:val="0"/>
                <w:sz w:val="22"/>
              </w:rPr>
            </w:pPr>
            <w:r>
              <w:rPr>
                <w:rFonts w:ascii="Times New Roman" w:hAnsi="Times New Roman" w:eastAsia="仿宋_GB2312"/>
                <w:kern w:val="0"/>
                <w:sz w:val="22"/>
              </w:rPr>
              <w:t>1</w:t>
            </w:r>
            <w:r>
              <w:rPr>
                <w:rFonts w:hint="eastAsia" w:ascii="Times New Roman" w:hAnsi="Times New Roman" w:eastAsia="仿宋_GB2312"/>
                <w:kern w:val="0"/>
                <w:sz w:val="22"/>
              </w:rPr>
              <w:t>、房屋（平方米）</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sz w:val="22"/>
              </w:rPr>
            </w:pPr>
          </w:p>
        </w:tc>
        <w:tc>
          <w:tcPr>
            <w:tcW w:w="5103"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left"/>
              <w:rPr>
                <w:rFonts w:ascii="Times New Roman" w:hAnsi="Times New Roman" w:eastAsia="仿宋_GB2312"/>
                <w:kern w:val="0"/>
                <w:sz w:val="22"/>
              </w:rPr>
            </w:pPr>
            <w:r>
              <w:rPr>
                <w:rFonts w:hint="eastAsia" w:ascii="Times New Roman" w:hAnsi="Times New Roman" w:eastAsia="仿宋_GB2312"/>
                <w:kern w:val="0"/>
                <w:sz w:val="22"/>
              </w:rPr>
              <w:t>其中：办公用房（平方米）</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sz w:val="22"/>
              </w:rPr>
            </w:pPr>
          </w:p>
        </w:tc>
        <w:tc>
          <w:tcPr>
            <w:tcW w:w="5103"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left"/>
              <w:rPr>
                <w:rFonts w:ascii="Times New Roman" w:hAnsi="Times New Roman" w:eastAsia="仿宋_GB2312"/>
                <w:kern w:val="0"/>
                <w:sz w:val="22"/>
              </w:rPr>
            </w:pPr>
            <w:r>
              <w:rPr>
                <w:rFonts w:ascii="Times New Roman" w:hAnsi="Times New Roman" w:eastAsia="仿宋_GB2312"/>
                <w:kern w:val="0"/>
                <w:sz w:val="22"/>
              </w:rPr>
              <w:t>2</w:t>
            </w:r>
            <w:r>
              <w:rPr>
                <w:rFonts w:hint="eastAsia" w:ascii="Times New Roman" w:hAnsi="Times New Roman" w:eastAsia="仿宋_GB2312"/>
                <w:kern w:val="0"/>
                <w:sz w:val="22"/>
              </w:rPr>
              <w:t>、车辆（台、辆）</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sz w:val="22"/>
              </w:rPr>
            </w:pPr>
            <w:r>
              <w:rPr>
                <w:rFonts w:ascii="Times New Roman" w:hAnsi="Times New Roman" w:eastAsia="仿宋_GB2312"/>
                <w:sz w:val="22"/>
              </w:rPr>
              <w:t>11</w:t>
            </w:r>
          </w:p>
        </w:tc>
        <w:tc>
          <w:tcPr>
            <w:tcW w:w="5103"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sz w:val="22"/>
              </w:rPr>
            </w:pPr>
            <w:r>
              <w:rPr>
                <w:rFonts w:ascii="Times New Roman" w:hAnsi="Times New Roman" w:eastAsia="仿宋_GB2312"/>
                <w:sz w:val="22"/>
              </w:rPr>
              <w:t>235.03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left"/>
              <w:rPr>
                <w:rFonts w:ascii="Times New Roman" w:hAnsi="Times New Roman" w:eastAsia="仿宋_GB2312"/>
                <w:kern w:val="0"/>
                <w:sz w:val="22"/>
              </w:rPr>
            </w:pPr>
            <w:r>
              <w:rPr>
                <w:rFonts w:ascii="Times New Roman" w:hAnsi="Times New Roman" w:eastAsia="仿宋_GB2312"/>
                <w:kern w:val="0"/>
                <w:sz w:val="22"/>
              </w:rPr>
              <w:t>3</w:t>
            </w:r>
            <w:r>
              <w:rPr>
                <w:rFonts w:hint="eastAsia" w:ascii="Times New Roman" w:hAnsi="Times New Roman" w:eastAsia="仿宋_GB2312"/>
                <w:kern w:val="0"/>
                <w:sz w:val="22"/>
              </w:rPr>
              <w:t>、单价在</w:t>
            </w:r>
            <w:r>
              <w:rPr>
                <w:rFonts w:ascii="Times New Roman" w:hAnsi="Times New Roman" w:eastAsia="仿宋_GB2312"/>
                <w:kern w:val="0"/>
                <w:sz w:val="22"/>
              </w:rPr>
              <w:t>20</w:t>
            </w:r>
            <w:r>
              <w:rPr>
                <w:rFonts w:hint="eastAsia" w:ascii="Times New Roman" w:hAnsi="Times New Roman" w:eastAsia="仿宋_GB2312"/>
                <w:kern w:val="0"/>
                <w:sz w:val="22"/>
              </w:rPr>
              <w:t>万元以上的设备</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sz w:val="22"/>
              </w:rPr>
            </w:pPr>
          </w:p>
        </w:tc>
        <w:tc>
          <w:tcPr>
            <w:tcW w:w="5103"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left"/>
              <w:rPr>
                <w:rFonts w:ascii="Times New Roman" w:hAnsi="Times New Roman" w:eastAsia="仿宋_GB2312"/>
                <w:kern w:val="0"/>
                <w:sz w:val="22"/>
              </w:rPr>
            </w:pPr>
            <w:r>
              <w:rPr>
                <w:rFonts w:ascii="Times New Roman" w:hAnsi="Times New Roman" w:eastAsia="仿宋_GB2312"/>
                <w:kern w:val="0"/>
                <w:sz w:val="22"/>
              </w:rPr>
              <w:t>4</w:t>
            </w:r>
            <w:r>
              <w:rPr>
                <w:rFonts w:hint="eastAsia" w:ascii="Times New Roman" w:hAnsi="Times New Roman" w:eastAsia="仿宋_GB2312"/>
                <w:kern w:val="0"/>
                <w:sz w:val="22"/>
              </w:rPr>
              <w:t>、其他固定资产</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sz w:val="22"/>
              </w:rPr>
            </w:pPr>
          </w:p>
        </w:tc>
        <w:tc>
          <w:tcPr>
            <w:tcW w:w="5103"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sz w:val="22"/>
              </w:rPr>
            </w:pPr>
            <w:r>
              <w:rPr>
                <w:rFonts w:ascii="Times New Roman" w:hAnsi="Times New Roman" w:eastAsia="仿宋_GB2312"/>
                <w:sz w:val="22"/>
              </w:rPr>
              <w:t>261.38</w:t>
            </w:r>
          </w:p>
        </w:tc>
      </w:tr>
    </w:tbl>
    <w:p>
      <w:pPr>
        <w:autoSpaceDE w:val="0"/>
        <w:autoSpaceDN w:val="0"/>
        <w:adjustRightInd w:val="0"/>
        <w:spacing w:line="584" w:lineRule="exact"/>
        <w:ind w:firstLine="640" w:firstLineChars="200"/>
        <w:jc w:val="left"/>
        <w:rPr>
          <w:rFonts w:ascii="Times New Roman" w:hAnsi="Times New Roman" w:eastAsia="黑体"/>
          <w:sz w:val="32"/>
          <w:szCs w:val="32"/>
        </w:rPr>
      </w:pPr>
      <w:r>
        <w:rPr>
          <w:rFonts w:hint="eastAsia" w:ascii="Times New Roman" w:hAnsi="黑体" w:eastAsia="黑体"/>
          <w:sz w:val="32"/>
          <w:szCs w:val="32"/>
        </w:rPr>
        <w:t>八、名词解释</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1</w:t>
      </w:r>
      <w:r>
        <w:rPr>
          <w:rFonts w:hint="eastAsia" w:ascii="Times New Roman" w:hAnsi="Times New Roman" w:eastAsia="仿宋_GB2312"/>
          <w:b/>
          <w:sz w:val="32"/>
          <w:szCs w:val="32"/>
        </w:rPr>
        <w:t>、一般公共预算拨款收入：</w:t>
      </w:r>
      <w:r>
        <w:rPr>
          <w:rFonts w:hint="eastAsia" w:ascii="Times New Roman" w:hAnsi="Times New Roman" w:eastAsia="仿宋_GB2312"/>
          <w:sz w:val="32"/>
          <w:szCs w:val="32"/>
        </w:rPr>
        <w:t>指市级财政当年拨付的资金。</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2</w:t>
      </w:r>
      <w:r>
        <w:rPr>
          <w:rFonts w:hint="eastAsia" w:ascii="Times New Roman" w:hAnsi="Times New Roman" w:eastAsia="仿宋_GB2312"/>
          <w:b/>
          <w:sz w:val="32"/>
          <w:szCs w:val="32"/>
        </w:rPr>
        <w:t>、事业收入：</w:t>
      </w:r>
      <w:r>
        <w:rPr>
          <w:rFonts w:hint="eastAsia" w:ascii="Times New Roman" w:hAnsi="Times New Roman" w:eastAsia="仿宋_GB2312"/>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3</w:t>
      </w:r>
      <w:r>
        <w:rPr>
          <w:rFonts w:hint="eastAsia" w:ascii="Times New Roman" w:hAnsi="Times New Roman" w:eastAsia="仿宋_GB2312"/>
          <w:b/>
          <w:sz w:val="32"/>
          <w:szCs w:val="32"/>
        </w:rPr>
        <w:t>、其他收入：</w:t>
      </w:r>
      <w:r>
        <w:rPr>
          <w:rFonts w:hint="eastAsia" w:ascii="Times New Roman" w:hAnsi="Times New Roman" w:eastAsia="仿宋_GB2312"/>
          <w:sz w:val="32"/>
          <w:szCs w:val="32"/>
        </w:rPr>
        <w:t>指除</w:t>
      </w:r>
      <w:r>
        <w:rPr>
          <w:rFonts w:ascii="Times New Roman" w:hAnsi="Times New Roman" w:eastAsia="仿宋_GB2312"/>
          <w:sz w:val="32"/>
          <w:szCs w:val="32"/>
        </w:rPr>
        <w:t>“</w:t>
      </w:r>
      <w:r>
        <w:rPr>
          <w:rFonts w:hint="eastAsia" w:ascii="Times New Roman" w:hAnsi="Times New Roman" w:eastAsia="仿宋_GB2312"/>
          <w:sz w:val="32"/>
          <w:szCs w:val="32"/>
        </w:rPr>
        <w:t>一般公共预算拨款收入</w:t>
      </w:r>
      <w:r>
        <w:rPr>
          <w:rFonts w:ascii="Times New Roman" w:hAnsi="Times New Roman" w:eastAsia="仿宋_GB2312"/>
          <w:sz w:val="32"/>
          <w:szCs w:val="32"/>
        </w:rPr>
        <w:t>”</w:t>
      </w:r>
      <w:r>
        <w:rPr>
          <w:rFonts w:hint="eastAsia" w:ascii="Times New Roman" w:hAnsi="Times New Roman" w:eastAsia="仿宋_GB2312"/>
          <w:sz w:val="32"/>
          <w:szCs w:val="32"/>
        </w:rPr>
        <w:t>、</w:t>
      </w:r>
      <w:r>
        <w:rPr>
          <w:rFonts w:ascii="Times New Roman" w:hAnsi="Times New Roman" w:eastAsia="仿宋_GB2312"/>
          <w:sz w:val="32"/>
          <w:szCs w:val="32"/>
        </w:rPr>
        <w:t>“</w:t>
      </w:r>
      <w:r>
        <w:rPr>
          <w:rFonts w:hint="eastAsia" w:ascii="Times New Roman" w:hAnsi="Times New Roman" w:eastAsia="仿宋_GB2312"/>
          <w:sz w:val="32"/>
          <w:szCs w:val="32"/>
        </w:rPr>
        <w:t>事业收入</w:t>
      </w:r>
      <w:r>
        <w:rPr>
          <w:rFonts w:ascii="Times New Roman" w:hAnsi="Times New Roman" w:eastAsia="仿宋_GB2312"/>
          <w:sz w:val="32"/>
          <w:szCs w:val="32"/>
        </w:rPr>
        <w:t>”</w:t>
      </w:r>
      <w:r>
        <w:rPr>
          <w:rFonts w:hint="eastAsia" w:ascii="Times New Roman" w:hAnsi="Times New Roman" w:eastAsia="仿宋_GB2312"/>
          <w:sz w:val="32"/>
          <w:szCs w:val="32"/>
        </w:rPr>
        <w:t>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4</w:t>
      </w:r>
      <w:r>
        <w:rPr>
          <w:rFonts w:hint="eastAsia" w:ascii="Times New Roman" w:hAnsi="Times New Roman" w:eastAsia="仿宋_GB2312"/>
          <w:b/>
          <w:sz w:val="32"/>
          <w:szCs w:val="32"/>
        </w:rPr>
        <w:t>、基本支出：</w:t>
      </w:r>
      <w:r>
        <w:rPr>
          <w:rFonts w:hint="eastAsia" w:ascii="Times New Roman" w:hAnsi="Times New Roman" w:eastAsia="仿宋_GB2312"/>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5</w:t>
      </w:r>
      <w:r>
        <w:rPr>
          <w:rFonts w:hint="eastAsia" w:ascii="Times New Roman" w:hAnsi="Times New Roman" w:eastAsia="仿宋_GB2312"/>
          <w:b/>
          <w:sz w:val="32"/>
          <w:szCs w:val="32"/>
        </w:rPr>
        <w:t>、项目支出：</w:t>
      </w:r>
      <w:r>
        <w:rPr>
          <w:rFonts w:hint="eastAsia" w:ascii="Times New Roman" w:hAnsi="Times New Roman" w:eastAsia="仿宋_GB2312"/>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6</w:t>
      </w:r>
      <w:r>
        <w:rPr>
          <w:rFonts w:hint="eastAsia" w:ascii="Times New Roman" w:hAnsi="Times New Roman" w:eastAsia="仿宋_GB2312"/>
          <w:b/>
          <w:sz w:val="32"/>
          <w:szCs w:val="32"/>
        </w:rPr>
        <w:t>、上缴上级支出：</w:t>
      </w:r>
      <w:r>
        <w:rPr>
          <w:rFonts w:hint="eastAsia" w:ascii="Times New Roman" w:hAnsi="Times New Roman" w:eastAsia="仿宋_GB2312"/>
          <w:sz w:val="32"/>
          <w:szCs w:val="32"/>
        </w:rPr>
        <w:t>指下级单位上缴上级的支出。</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7</w:t>
      </w:r>
      <w:r>
        <w:rPr>
          <w:rFonts w:hint="eastAsia" w:ascii="Times New Roman" w:hAnsi="Times New Roman" w:eastAsia="仿宋_GB2312"/>
          <w:b/>
          <w:sz w:val="32"/>
          <w:szCs w:val="32"/>
        </w:rPr>
        <w:t>、</w:t>
      </w:r>
      <w:r>
        <w:rPr>
          <w:rFonts w:ascii="Times New Roman" w:hAnsi="Times New Roman" w:eastAsia="仿宋_GB2312"/>
          <w:b/>
          <w:sz w:val="32"/>
          <w:szCs w:val="32"/>
        </w:rPr>
        <w:t>“</w:t>
      </w:r>
      <w:r>
        <w:rPr>
          <w:rFonts w:hint="eastAsia" w:ascii="Times New Roman" w:hAnsi="Times New Roman" w:eastAsia="仿宋_GB2312"/>
          <w:b/>
          <w:sz w:val="32"/>
          <w:szCs w:val="32"/>
        </w:rPr>
        <w:t>三公</w:t>
      </w:r>
      <w:r>
        <w:rPr>
          <w:rFonts w:ascii="Times New Roman" w:hAnsi="Times New Roman" w:eastAsia="仿宋_GB2312"/>
          <w:b/>
          <w:sz w:val="32"/>
          <w:szCs w:val="32"/>
        </w:rPr>
        <w:t>”</w:t>
      </w:r>
      <w:r>
        <w:rPr>
          <w:rFonts w:hint="eastAsia" w:ascii="Times New Roman" w:hAnsi="Times New Roman" w:eastAsia="仿宋_GB2312"/>
          <w:b/>
          <w:sz w:val="32"/>
          <w:szCs w:val="32"/>
        </w:rPr>
        <w:t>经费：</w:t>
      </w:r>
      <w:r>
        <w:rPr>
          <w:rFonts w:hint="eastAsia" w:ascii="Times New Roman" w:hAnsi="Times New Roman" w:eastAsia="仿宋_GB2312"/>
          <w:sz w:val="32"/>
          <w:szCs w:val="32"/>
        </w:rPr>
        <w:t>纳入市级财政预算管理的</w:t>
      </w:r>
      <w:r>
        <w:rPr>
          <w:rFonts w:ascii="Times New Roman" w:hAnsi="Times New Roman" w:eastAsia="仿宋_GB2312"/>
          <w:sz w:val="32"/>
          <w:szCs w:val="32"/>
        </w:rPr>
        <w:t>“</w:t>
      </w:r>
      <w:r>
        <w:rPr>
          <w:rFonts w:hint="eastAsia" w:ascii="Times New Roman" w:hAnsi="Times New Roman" w:eastAsia="仿宋_GB2312"/>
          <w:sz w:val="32"/>
          <w:szCs w:val="32"/>
        </w:rPr>
        <w:t>三公</w:t>
      </w:r>
      <w:r>
        <w:rPr>
          <w:rFonts w:ascii="Times New Roman" w:hAnsi="Times New Roman" w:eastAsia="仿宋_GB2312"/>
          <w:sz w:val="32"/>
          <w:szCs w:val="32"/>
        </w:rPr>
        <w:t>”</w:t>
      </w:r>
      <w:r>
        <w:rPr>
          <w:rFonts w:hint="eastAsia" w:ascii="Times New Roman" w:hAnsi="Times New Roman" w:eastAsia="仿宋_GB2312"/>
          <w:sz w:val="32"/>
          <w:szCs w:val="32"/>
        </w:rPr>
        <w:t>经费，是指市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8</w:t>
      </w:r>
      <w:r>
        <w:rPr>
          <w:rFonts w:hint="eastAsia" w:ascii="Times New Roman" w:hAnsi="Times New Roman" w:eastAsia="仿宋_GB2312"/>
          <w:b/>
          <w:sz w:val="32"/>
          <w:szCs w:val="32"/>
        </w:rPr>
        <w:t>、机关运行费：</w:t>
      </w:r>
      <w:r>
        <w:rPr>
          <w:rFonts w:hint="eastAsia" w:ascii="Times New Roman" w:hAnsi="Times New Roman" w:eastAsia="仿宋_GB2312"/>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9</w:t>
      </w:r>
      <w:r>
        <w:rPr>
          <w:rFonts w:hint="eastAsia" w:ascii="Times New Roman" w:hAnsi="Times New Roman" w:eastAsia="仿宋_GB2312"/>
          <w:b/>
          <w:sz w:val="32"/>
          <w:szCs w:val="32"/>
        </w:rPr>
        <w:t>、上年结转：</w:t>
      </w:r>
      <w:r>
        <w:rPr>
          <w:rFonts w:hint="eastAsia" w:ascii="Times New Roman" w:hAnsi="Times New Roman" w:eastAsia="仿宋_GB2312"/>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10</w:t>
      </w:r>
      <w:r>
        <w:rPr>
          <w:rFonts w:hint="eastAsia" w:ascii="Times New Roman" w:hAnsi="Times New Roman" w:eastAsia="仿宋_GB2312"/>
          <w:b/>
          <w:sz w:val="32"/>
          <w:szCs w:val="32"/>
        </w:rPr>
        <w:t>、事业单位经营支出：</w:t>
      </w:r>
      <w:r>
        <w:rPr>
          <w:rFonts w:hint="eastAsia" w:ascii="Times New Roman" w:hAnsi="Times New Roman" w:eastAsia="仿宋_GB2312"/>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sz w:val="32"/>
          <w:szCs w:val="32"/>
        </w:rPr>
      </w:pPr>
      <w:r>
        <w:rPr>
          <w:rFonts w:hint="eastAsia" w:ascii="Times New Roman" w:hAnsi="黑体" w:eastAsia="黑体"/>
          <w:sz w:val="32"/>
          <w:szCs w:val="32"/>
        </w:rPr>
        <w:t>九、其他需要说明的事项</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我部门无其他需要说明的事项。</w:t>
      </w:r>
    </w:p>
    <w:sectPr>
      <w:footerReference r:id="rId4" w:type="default"/>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书宋_GBK">
    <w:altName w:val="SimSun-ExtB"/>
    <w:panose1 w:val="00000000000000000000"/>
    <w:charset w:val="86"/>
    <w:family w:val="script"/>
    <w:pitch w:val="default"/>
    <w:sig w:usb0="00000000" w:usb1="00000000" w:usb2="00000010" w:usb3="00000000" w:csb0="00040000" w:csb1="00000000"/>
  </w:font>
  <w:font w:name="方正小标宋_GBK">
    <w:altName w:val="SimSun-ExtB"/>
    <w:panose1 w:val="00000000000000000000"/>
    <w:charset w:val="86"/>
    <w:family w:val="script"/>
    <w:pitch w:val="default"/>
    <w:sig w:usb0="00000000" w:usb1="00000000" w:usb2="00000010" w:usb3="00000000" w:csb0="00040000" w:csb1="00000000"/>
  </w:font>
  <w:font w:name="方正楷体_GBK">
    <w:altName w:val="宋体"/>
    <w:panose1 w:val="00000000000000000000"/>
    <w:charset w:val="86"/>
    <w:family w:val="roman"/>
    <w:pitch w:val="default"/>
    <w:sig w:usb0="00000000" w:usb1="00000000" w:usb2="00000010" w:usb3="00000000" w:csb0="00040000" w:csb1="00000000"/>
  </w:font>
  <w:font w:name="SimSun-ExtB">
    <w:panose1 w:val="02010609060101010101"/>
    <w:charset w:val="86"/>
    <w:family w:val="auto"/>
    <w:pitch w:val="default"/>
    <w:sig w:usb0="00000001" w:usb1="02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t>-</w:t>
    </w:r>
    <w:r>
      <w:fldChar w:fldCharType="begin"/>
    </w:r>
    <w:r>
      <w:instrText xml:space="preserve">PAGE   \* MERGEFORMAT</w:instrText>
    </w:r>
    <w:r>
      <w:fldChar w:fldCharType="separate"/>
    </w:r>
    <w:r>
      <w:rPr>
        <w:lang w:val="zh-CN"/>
      </w:rPr>
      <w:t>18</w:t>
    </w:r>
    <w:r>
      <w:rPr>
        <w:lang w:val="zh-CN"/>
      </w:rPr>
      <w:fldChar w:fldCharType="end"/>
    </w:r>
    <w:r>
      <w:t>-</w:t>
    </w:r>
  </w:p>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2"/>
    <w:footnote w:id="3"/>
  </w:foot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Q4NWVhOWMxNjllYWVmZmYwMDljYmEwODVjMTIwOGEifQ=="/>
  </w:docVars>
  <w:rsids>
    <w:rsidRoot w:val="00F66032"/>
    <w:rsid w:val="000053CC"/>
    <w:rsid w:val="00010564"/>
    <w:rsid w:val="00037AF6"/>
    <w:rsid w:val="000410F2"/>
    <w:rsid w:val="0004565F"/>
    <w:rsid w:val="000463C7"/>
    <w:rsid w:val="00056F59"/>
    <w:rsid w:val="00060CA4"/>
    <w:rsid w:val="0006128C"/>
    <w:rsid w:val="00066241"/>
    <w:rsid w:val="00072187"/>
    <w:rsid w:val="00075D5F"/>
    <w:rsid w:val="0008180F"/>
    <w:rsid w:val="00093DA3"/>
    <w:rsid w:val="000A125B"/>
    <w:rsid w:val="000B529B"/>
    <w:rsid w:val="000C24E6"/>
    <w:rsid w:val="000C345A"/>
    <w:rsid w:val="000C3A19"/>
    <w:rsid w:val="000E4305"/>
    <w:rsid w:val="000F0D09"/>
    <w:rsid w:val="001245BB"/>
    <w:rsid w:val="001251A3"/>
    <w:rsid w:val="001349A3"/>
    <w:rsid w:val="0015229A"/>
    <w:rsid w:val="00160266"/>
    <w:rsid w:val="001643E8"/>
    <w:rsid w:val="001662A8"/>
    <w:rsid w:val="00176C13"/>
    <w:rsid w:val="001919C4"/>
    <w:rsid w:val="0019723B"/>
    <w:rsid w:val="001A0943"/>
    <w:rsid w:val="001A5828"/>
    <w:rsid w:val="001B5C1D"/>
    <w:rsid w:val="001D287A"/>
    <w:rsid w:val="001E0757"/>
    <w:rsid w:val="001E6DDC"/>
    <w:rsid w:val="001E70E9"/>
    <w:rsid w:val="001F5C92"/>
    <w:rsid w:val="001F7873"/>
    <w:rsid w:val="00212DA6"/>
    <w:rsid w:val="00230E48"/>
    <w:rsid w:val="00241FD4"/>
    <w:rsid w:val="00246317"/>
    <w:rsid w:val="00251B12"/>
    <w:rsid w:val="00265318"/>
    <w:rsid w:val="00266BE3"/>
    <w:rsid w:val="002740C2"/>
    <w:rsid w:val="002835D7"/>
    <w:rsid w:val="00287AF6"/>
    <w:rsid w:val="00290FD6"/>
    <w:rsid w:val="00293364"/>
    <w:rsid w:val="00296113"/>
    <w:rsid w:val="002A673A"/>
    <w:rsid w:val="002C5E13"/>
    <w:rsid w:val="002C62BC"/>
    <w:rsid w:val="002E0449"/>
    <w:rsid w:val="002E0EB8"/>
    <w:rsid w:val="002F3E58"/>
    <w:rsid w:val="0030542C"/>
    <w:rsid w:val="00311B7A"/>
    <w:rsid w:val="003126B6"/>
    <w:rsid w:val="00313D9C"/>
    <w:rsid w:val="00325215"/>
    <w:rsid w:val="0033339C"/>
    <w:rsid w:val="00340B53"/>
    <w:rsid w:val="0035775D"/>
    <w:rsid w:val="0036086E"/>
    <w:rsid w:val="003874EF"/>
    <w:rsid w:val="003A4E0D"/>
    <w:rsid w:val="003B6D37"/>
    <w:rsid w:val="003C7F80"/>
    <w:rsid w:val="00414BD3"/>
    <w:rsid w:val="004243A1"/>
    <w:rsid w:val="00424943"/>
    <w:rsid w:val="0042727E"/>
    <w:rsid w:val="0043175C"/>
    <w:rsid w:val="00437296"/>
    <w:rsid w:val="00451590"/>
    <w:rsid w:val="00451871"/>
    <w:rsid w:val="004706DE"/>
    <w:rsid w:val="00472923"/>
    <w:rsid w:val="0048084F"/>
    <w:rsid w:val="00486DCD"/>
    <w:rsid w:val="0049120C"/>
    <w:rsid w:val="004B0C3A"/>
    <w:rsid w:val="004C49A8"/>
    <w:rsid w:val="004D5788"/>
    <w:rsid w:val="004E3066"/>
    <w:rsid w:val="004E419C"/>
    <w:rsid w:val="004E74CD"/>
    <w:rsid w:val="004F05E7"/>
    <w:rsid w:val="00524EFD"/>
    <w:rsid w:val="00554F4B"/>
    <w:rsid w:val="00572067"/>
    <w:rsid w:val="00573562"/>
    <w:rsid w:val="005823C3"/>
    <w:rsid w:val="00590ECE"/>
    <w:rsid w:val="005B0D76"/>
    <w:rsid w:val="005B3F56"/>
    <w:rsid w:val="005C0E90"/>
    <w:rsid w:val="005D0C27"/>
    <w:rsid w:val="005D37CA"/>
    <w:rsid w:val="005E5D57"/>
    <w:rsid w:val="005E7B1B"/>
    <w:rsid w:val="005F5714"/>
    <w:rsid w:val="005F7AE1"/>
    <w:rsid w:val="00600299"/>
    <w:rsid w:val="00611D03"/>
    <w:rsid w:val="00614A29"/>
    <w:rsid w:val="00615F18"/>
    <w:rsid w:val="00636109"/>
    <w:rsid w:val="00650B42"/>
    <w:rsid w:val="00651BA2"/>
    <w:rsid w:val="00673D76"/>
    <w:rsid w:val="006854F0"/>
    <w:rsid w:val="006B1C4A"/>
    <w:rsid w:val="006B610D"/>
    <w:rsid w:val="006B682C"/>
    <w:rsid w:val="006C206A"/>
    <w:rsid w:val="006E49F5"/>
    <w:rsid w:val="007013C8"/>
    <w:rsid w:val="00727C84"/>
    <w:rsid w:val="0074338E"/>
    <w:rsid w:val="00753836"/>
    <w:rsid w:val="0075393C"/>
    <w:rsid w:val="00754592"/>
    <w:rsid w:val="007679BF"/>
    <w:rsid w:val="00776C08"/>
    <w:rsid w:val="0078017A"/>
    <w:rsid w:val="00780A40"/>
    <w:rsid w:val="007928BD"/>
    <w:rsid w:val="007B49AA"/>
    <w:rsid w:val="007C219A"/>
    <w:rsid w:val="007E1027"/>
    <w:rsid w:val="007E1DA8"/>
    <w:rsid w:val="007E6BCB"/>
    <w:rsid w:val="007F0BFC"/>
    <w:rsid w:val="007F1335"/>
    <w:rsid w:val="007F6C26"/>
    <w:rsid w:val="00800B4F"/>
    <w:rsid w:val="00800F72"/>
    <w:rsid w:val="00811795"/>
    <w:rsid w:val="00813208"/>
    <w:rsid w:val="00813EA1"/>
    <w:rsid w:val="00815157"/>
    <w:rsid w:val="0083348E"/>
    <w:rsid w:val="008334AE"/>
    <w:rsid w:val="00836FED"/>
    <w:rsid w:val="0083724E"/>
    <w:rsid w:val="00841D53"/>
    <w:rsid w:val="00843E78"/>
    <w:rsid w:val="00845CD2"/>
    <w:rsid w:val="00852B0D"/>
    <w:rsid w:val="0085425A"/>
    <w:rsid w:val="00862CE4"/>
    <w:rsid w:val="00864B7F"/>
    <w:rsid w:val="00881692"/>
    <w:rsid w:val="00882539"/>
    <w:rsid w:val="008839D6"/>
    <w:rsid w:val="008858FF"/>
    <w:rsid w:val="00896E44"/>
    <w:rsid w:val="008A6576"/>
    <w:rsid w:val="008B3CC5"/>
    <w:rsid w:val="008B52CD"/>
    <w:rsid w:val="008C7C4D"/>
    <w:rsid w:val="008E4261"/>
    <w:rsid w:val="008E70D4"/>
    <w:rsid w:val="008F4662"/>
    <w:rsid w:val="0090563F"/>
    <w:rsid w:val="00905D08"/>
    <w:rsid w:val="00906672"/>
    <w:rsid w:val="009113C9"/>
    <w:rsid w:val="00925753"/>
    <w:rsid w:val="00937F8B"/>
    <w:rsid w:val="009425F4"/>
    <w:rsid w:val="00943BD8"/>
    <w:rsid w:val="00954B2C"/>
    <w:rsid w:val="00966C5C"/>
    <w:rsid w:val="00973104"/>
    <w:rsid w:val="0097328E"/>
    <w:rsid w:val="00981166"/>
    <w:rsid w:val="009842F6"/>
    <w:rsid w:val="00995BF0"/>
    <w:rsid w:val="009A16D5"/>
    <w:rsid w:val="009A2FC0"/>
    <w:rsid w:val="009A353D"/>
    <w:rsid w:val="009B0B77"/>
    <w:rsid w:val="009B511E"/>
    <w:rsid w:val="009B5215"/>
    <w:rsid w:val="009B718D"/>
    <w:rsid w:val="009C6C86"/>
    <w:rsid w:val="009D37D3"/>
    <w:rsid w:val="009E73B2"/>
    <w:rsid w:val="00A050F2"/>
    <w:rsid w:val="00A16E6C"/>
    <w:rsid w:val="00A36F96"/>
    <w:rsid w:val="00A40F60"/>
    <w:rsid w:val="00A44E3D"/>
    <w:rsid w:val="00A539D4"/>
    <w:rsid w:val="00A72D2E"/>
    <w:rsid w:val="00A74447"/>
    <w:rsid w:val="00A74CE5"/>
    <w:rsid w:val="00A77500"/>
    <w:rsid w:val="00A8536F"/>
    <w:rsid w:val="00A911E7"/>
    <w:rsid w:val="00A939D9"/>
    <w:rsid w:val="00AB77AA"/>
    <w:rsid w:val="00AC3CD4"/>
    <w:rsid w:val="00AC4748"/>
    <w:rsid w:val="00AD5259"/>
    <w:rsid w:val="00AE68AC"/>
    <w:rsid w:val="00B01D36"/>
    <w:rsid w:val="00B078CD"/>
    <w:rsid w:val="00B20712"/>
    <w:rsid w:val="00B43238"/>
    <w:rsid w:val="00B45DD3"/>
    <w:rsid w:val="00B466D4"/>
    <w:rsid w:val="00B54B90"/>
    <w:rsid w:val="00B57462"/>
    <w:rsid w:val="00B615BA"/>
    <w:rsid w:val="00B64D40"/>
    <w:rsid w:val="00B64FA8"/>
    <w:rsid w:val="00B73582"/>
    <w:rsid w:val="00B75216"/>
    <w:rsid w:val="00B755A2"/>
    <w:rsid w:val="00B9104C"/>
    <w:rsid w:val="00B91D52"/>
    <w:rsid w:val="00B9490F"/>
    <w:rsid w:val="00BA1ACD"/>
    <w:rsid w:val="00BC1FB6"/>
    <w:rsid w:val="00BD09F8"/>
    <w:rsid w:val="00BE4A63"/>
    <w:rsid w:val="00C005B2"/>
    <w:rsid w:val="00C05474"/>
    <w:rsid w:val="00C1565C"/>
    <w:rsid w:val="00C21E0F"/>
    <w:rsid w:val="00C35332"/>
    <w:rsid w:val="00C362CA"/>
    <w:rsid w:val="00C45A4E"/>
    <w:rsid w:val="00C54A60"/>
    <w:rsid w:val="00C732BF"/>
    <w:rsid w:val="00C772C1"/>
    <w:rsid w:val="00C840CF"/>
    <w:rsid w:val="00CA7176"/>
    <w:rsid w:val="00CB51D7"/>
    <w:rsid w:val="00CB7E0F"/>
    <w:rsid w:val="00CC75B0"/>
    <w:rsid w:val="00CC7B84"/>
    <w:rsid w:val="00CD2773"/>
    <w:rsid w:val="00CE01BA"/>
    <w:rsid w:val="00CE143B"/>
    <w:rsid w:val="00CE3A91"/>
    <w:rsid w:val="00D07DBA"/>
    <w:rsid w:val="00D23C16"/>
    <w:rsid w:val="00D27003"/>
    <w:rsid w:val="00D324AD"/>
    <w:rsid w:val="00D9307A"/>
    <w:rsid w:val="00DA76CB"/>
    <w:rsid w:val="00DB4322"/>
    <w:rsid w:val="00DC5609"/>
    <w:rsid w:val="00DD1D0C"/>
    <w:rsid w:val="00DE186D"/>
    <w:rsid w:val="00DF0CA7"/>
    <w:rsid w:val="00E167C7"/>
    <w:rsid w:val="00E2780A"/>
    <w:rsid w:val="00E32E4D"/>
    <w:rsid w:val="00E55B78"/>
    <w:rsid w:val="00E76361"/>
    <w:rsid w:val="00E84020"/>
    <w:rsid w:val="00E906B2"/>
    <w:rsid w:val="00EB7A80"/>
    <w:rsid w:val="00EC47F6"/>
    <w:rsid w:val="00ED1B07"/>
    <w:rsid w:val="00EE6D6D"/>
    <w:rsid w:val="00EF08C9"/>
    <w:rsid w:val="00EF535E"/>
    <w:rsid w:val="00F471F7"/>
    <w:rsid w:val="00F4732B"/>
    <w:rsid w:val="00F66032"/>
    <w:rsid w:val="00F83B96"/>
    <w:rsid w:val="00F8441D"/>
    <w:rsid w:val="00F87C1E"/>
    <w:rsid w:val="00F87CC2"/>
    <w:rsid w:val="00F958C2"/>
    <w:rsid w:val="00FA740E"/>
    <w:rsid w:val="00FC06C7"/>
    <w:rsid w:val="00FC083E"/>
    <w:rsid w:val="00FD5DB4"/>
    <w:rsid w:val="00FD676E"/>
    <w:rsid w:val="00FE0519"/>
    <w:rsid w:val="00FE1724"/>
    <w:rsid w:val="00FE5FBF"/>
    <w:rsid w:val="00FE753C"/>
    <w:rsid w:val="00FF2346"/>
    <w:rsid w:val="046E6DDE"/>
    <w:rsid w:val="09D60CE7"/>
    <w:rsid w:val="1021564D"/>
    <w:rsid w:val="1102547E"/>
    <w:rsid w:val="17210B78"/>
    <w:rsid w:val="20DE6C42"/>
    <w:rsid w:val="21AA4A7C"/>
    <w:rsid w:val="23EA5DC7"/>
    <w:rsid w:val="25E8630D"/>
    <w:rsid w:val="2ACB68B0"/>
    <w:rsid w:val="318C4BC4"/>
    <w:rsid w:val="340A166E"/>
    <w:rsid w:val="36652F89"/>
    <w:rsid w:val="38130C12"/>
    <w:rsid w:val="392F3F15"/>
    <w:rsid w:val="3ED84DA8"/>
    <w:rsid w:val="41FE03E8"/>
    <w:rsid w:val="4D0E1FEF"/>
    <w:rsid w:val="4F48324B"/>
    <w:rsid w:val="59BE306A"/>
    <w:rsid w:val="692B2BBE"/>
    <w:rsid w:val="6CD62949"/>
    <w:rsid w:val="6EE113A4"/>
    <w:rsid w:val="70883186"/>
    <w:rsid w:val="789E38EE"/>
    <w:rsid w:val="7A6E066F"/>
    <w:rsid w:val="7A8B2A8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qFormat="1" w:unhideWhenUsed="0" w:uiPriority="99"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nhideWhenUsed="0"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autoRedefine/>
    <w:semiHidden/>
    <w:qFormat/>
    <w:uiPriority w:val="99"/>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12"/>
    <w:autoRedefine/>
    <w:qFormat/>
    <w:uiPriority w:val="99"/>
    <w:rPr>
      <w:sz w:val="18"/>
      <w:szCs w:val="18"/>
    </w:rPr>
  </w:style>
  <w:style w:type="paragraph" w:styleId="3">
    <w:name w:val="footer"/>
    <w:basedOn w:val="1"/>
    <w:link w:val="13"/>
    <w:autoRedefine/>
    <w:qFormat/>
    <w:uiPriority w:val="99"/>
    <w:pPr>
      <w:tabs>
        <w:tab w:val="center" w:pos="4153"/>
        <w:tab w:val="right" w:pos="8306"/>
      </w:tabs>
      <w:snapToGrid w:val="0"/>
      <w:jc w:val="left"/>
    </w:pPr>
    <w:rPr>
      <w:rFonts w:ascii="Times New Roman" w:hAnsi="Times New Roman"/>
      <w:sz w:val="18"/>
      <w:szCs w:val="18"/>
    </w:rPr>
  </w:style>
  <w:style w:type="paragraph" w:styleId="4">
    <w:name w:val="header"/>
    <w:basedOn w:val="1"/>
    <w:link w:val="14"/>
    <w:autoRedefine/>
    <w:qFormat/>
    <w:uiPriority w:val="99"/>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5">
    <w:name w:val="toc 1"/>
    <w:basedOn w:val="1"/>
    <w:next w:val="1"/>
    <w:qFormat/>
    <w:uiPriority w:val="99"/>
    <w:rPr>
      <w:rFonts w:ascii="Times New Roman" w:hAnsi="Times New Roman"/>
      <w:szCs w:val="24"/>
    </w:rPr>
  </w:style>
  <w:style w:type="paragraph" w:styleId="6">
    <w:name w:val="footnote text"/>
    <w:basedOn w:val="1"/>
    <w:link w:val="15"/>
    <w:autoRedefine/>
    <w:qFormat/>
    <w:uiPriority w:val="99"/>
    <w:pPr>
      <w:snapToGrid w:val="0"/>
      <w:jc w:val="left"/>
    </w:pPr>
    <w:rPr>
      <w:sz w:val="18"/>
      <w:szCs w:val="18"/>
    </w:rPr>
  </w:style>
  <w:style w:type="paragraph" w:styleId="7">
    <w:name w:val="toc 2"/>
    <w:basedOn w:val="1"/>
    <w:next w:val="1"/>
    <w:qFormat/>
    <w:uiPriority w:val="99"/>
    <w:pPr>
      <w:ind w:left="420" w:leftChars="200"/>
    </w:pPr>
    <w:rPr>
      <w:rFonts w:ascii="Times New Roman" w:hAnsi="Times New Roman"/>
      <w:szCs w:val="24"/>
    </w:rPr>
  </w:style>
  <w:style w:type="table" w:styleId="9">
    <w:name w:val="Table Grid"/>
    <w:basedOn w:val="8"/>
    <w:autoRedefine/>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footnote reference"/>
    <w:basedOn w:val="10"/>
    <w:autoRedefine/>
    <w:qFormat/>
    <w:uiPriority w:val="99"/>
    <w:rPr>
      <w:rFonts w:cs="Times New Roman"/>
      <w:vertAlign w:val="superscript"/>
    </w:rPr>
  </w:style>
  <w:style w:type="character" w:customStyle="1" w:styleId="12">
    <w:name w:val="Balloon Text Char"/>
    <w:basedOn w:val="10"/>
    <w:link w:val="2"/>
    <w:autoRedefine/>
    <w:semiHidden/>
    <w:qFormat/>
    <w:locked/>
    <w:uiPriority w:val="99"/>
    <w:rPr>
      <w:rFonts w:cs="Times New Roman"/>
      <w:sz w:val="18"/>
      <w:szCs w:val="18"/>
    </w:rPr>
  </w:style>
  <w:style w:type="character" w:customStyle="1" w:styleId="13">
    <w:name w:val="Footer Char"/>
    <w:basedOn w:val="10"/>
    <w:link w:val="3"/>
    <w:autoRedefine/>
    <w:qFormat/>
    <w:locked/>
    <w:uiPriority w:val="99"/>
    <w:rPr>
      <w:rFonts w:ascii="Times New Roman" w:hAnsi="Times New Roman" w:eastAsia="宋体" w:cs="Times New Roman"/>
      <w:sz w:val="18"/>
      <w:szCs w:val="18"/>
    </w:rPr>
  </w:style>
  <w:style w:type="character" w:customStyle="1" w:styleId="14">
    <w:name w:val="Header Char"/>
    <w:basedOn w:val="10"/>
    <w:link w:val="4"/>
    <w:autoRedefine/>
    <w:qFormat/>
    <w:locked/>
    <w:uiPriority w:val="99"/>
    <w:rPr>
      <w:rFonts w:ascii="Times New Roman" w:hAnsi="Times New Roman" w:eastAsia="宋体" w:cs="Times New Roman"/>
      <w:sz w:val="18"/>
      <w:szCs w:val="18"/>
    </w:rPr>
  </w:style>
  <w:style w:type="character" w:customStyle="1" w:styleId="15">
    <w:name w:val="Footnote Text Char"/>
    <w:basedOn w:val="10"/>
    <w:link w:val="6"/>
    <w:autoRedefine/>
    <w:semiHidden/>
    <w:qFormat/>
    <w:locked/>
    <w:uiPriority w:val="99"/>
    <w:rPr>
      <w:rFonts w:ascii="Calibri" w:hAnsi="Calibri" w:eastAsia="宋体" w:cs="Times New Roman"/>
      <w:sz w:val="18"/>
      <w:szCs w:val="18"/>
    </w:rPr>
  </w:style>
  <w:style w:type="paragraph" w:customStyle="1" w:styleId="16">
    <w:name w:val="Default"/>
    <w:autoRedefine/>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Microsoft</Company>
  <Pages>20</Pages>
  <Words>8967</Words>
  <Characters>9672</Characters>
  <Lines>0</Lines>
  <Paragraphs>0</Paragraphs>
  <TotalTime>44</TotalTime>
  <ScaleCrop>false</ScaleCrop>
  <LinksUpToDate>false</LinksUpToDate>
  <CharactersWithSpaces>9759</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2019-01-16T09:51:00Z</dcterms:created>
  <dc:creator>guest</dc:creator>
  <cp:lastModifiedBy>有买宝宝衣服的找我</cp:lastModifiedBy>
  <cp:lastPrinted>2018-01-30T06:12:00Z</cp:lastPrinted>
  <dcterms:modified xsi:type="dcterms:W3CDTF">2024-05-20T01:35:06Z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1973AA68AD5F4F3DA9F802280C5A14C6_13</vt:lpwstr>
  </property>
</Properties>
</file>