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sz w:val="44"/>
          <w:szCs w:val="44"/>
        </w:rPr>
      </w:pPr>
      <w:r>
        <w:rPr>
          <w:rFonts w:hint="eastAsia" w:ascii="Times New Roman" w:hAnsi="Times New Roman" w:eastAsia="方正小标宋简体"/>
          <w:sz w:val="44"/>
          <w:szCs w:val="44"/>
          <w:lang w:eastAsia="zh-CN"/>
        </w:rPr>
        <w:t>大</w:t>
      </w:r>
      <w:r>
        <w:rPr>
          <w:rFonts w:hint="eastAsia" w:ascii="Times New Roman" w:hAnsi="Times New Roman" w:eastAsia="方正小标宋简体"/>
          <w:sz w:val="44"/>
          <w:szCs w:val="44"/>
        </w:rPr>
        <w:t>城县委办公室</w:t>
      </w:r>
      <w:r>
        <w:rPr>
          <w:rFonts w:ascii="Times New Roman" w:hAnsi="Times New Roman" w:eastAsia="方正小标宋简体"/>
          <w:sz w:val="44"/>
          <w:szCs w:val="44"/>
        </w:rPr>
        <w:t>2019</w:t>
      </w:r>
      <w:r>
        <w:rPr>
          <w:rFonts w:hint="eastAsia" w:ascii="Times New Roman" w:hAnsi="Times New Roman" w:eastAsia="方正小标宋简体"/>
          <w:sz w:val="44"/>
          <w:szCs w:val="44"/>
        </w:rPr>
        <w:t>年部门预算信息公开情况说明</w:t>
      </w:r>
    </w:p>
    <w:p>
      <w:pPr>
        <w:spacing w:line="584" w:lineRule="exact"/>
        <w:ind w:firstLine="880" w:firstLineChars="200"/>
        <w:jc w:val="center"/>
        <w:rPr>
          <w:rFonts w:ascii="Times New Roman" w:hAnsi="Times New Roman"/>
          <w:sz w:val="44"/>
          <w:szCs w:val="44"/>
        </w:rPr>
      </w:pPr>
    </w:p>
    <w:p>
      <w:pPr>
        <w:spacing w:line="584" w:lineRule="exact"/>
        <w:ind w:firstLine="640" w:firstLineChars="200"/>
        <w:rPr>
          <w:rFonts w:ascii="Times New Roman" w:hAnsi="Times New Roman"/>
          <w:sz w:val="32"/>
          <w:szCs w:val="32"/>
        </w:rPr>
      </w:pPr>
      <w:r>
        <w:rPr>
          <w:rFonts w:hint="eastAsia" w:ascii="宋体" w:hAnsi="宋体" w:cs="宋体"/>
          <w:sz w:val="32"/>
          <w:szCs w:val="32"/>
        </w:rPr>
        <w:t>按照《</w:t>
      </w:r>
      <w:r>
        <w:rPr>
          <w:rFonts w:hint="eastAsia" w:ascii="宋体" w:hAnsi="宋体" w:cs="宋体"/>
          <w:sz w:val="32"/>
          <w:szCs w:val="32"/>
          <w:lang w:val="en-US" w:eastAsia="zh-CN"/>
        </w:rPr>
        <w:t>中华人民共和国</w:t>
      </w:r>
      <w:r>
        <w:rPr>
          <w:rFonts w:hint="eastAsia" w:ascii="宋体" w:hAnsi="宋体" w:cs="宋体"/>
          <w:sz w:val="32"/>
          <w:szCs w:val="32"/>
        </w:rPr>
        <w:t>预算法》、《地方预决算公开操作规程》和《河北省省级预算公开办法》规定，现将廊坊市大城县委办公室</w:t>
      </w:r>
      <w:r>
        <w:rPr>
          <w:rFonts w:ascii="Times New Roman" w:hAnsi="Times New Roman"/>
          <w:sz w:val="32"/>
          <w:szCs w:val="32"/>
        </w:rPr>
        <w:t>2019</w:t>
      </w:r>
      <w:r>
        <w:rPr>
          <w:rFonts w:hint="eastAsia" w:ascii="宋体" w:hAnsi="宋体" w:cs="宋体"/>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ind w:firstLine="643" w:firstLineChars="200"/>
        <w:rPr>
          <w:rFonts w:ascii="??_GB2312" w:hAnsi="??_GB2312" w:cs="??_GB2312"/>
          <w:b/>
          <w:sz w:val="32"/>
          <w:szCs w:val="32"/>
        </w:rPr>
      </w:pPr>
      <w:r>
        <w:rPr>
          <w:rFonts w:hint="eastAsia" w:ascii="宋体" w:hAnsi="宋体" w:cs="宋体"/>
          <w:b/>
          <w:sz w:val="32"/>
          <w:szCs w:val="32"/>
        </w:rPr>
        <w:t>部门职责：</w:t>
      </w:r>
    </w:p>
    <w:p>
      <w:pPr>
        <w:ind w:firstLine="640" w:firstLineChars="200"/>
        <w:rPr>
          <w:rFonts w:ascii="??_GB2312" w:hAnsi="??_GB2312" w:cs="??_GB2312"/>
          <w:bCs/>
          <w:sz w:val="32"/>
          <w:szCs w:val="32"/>
        </w:rPr>
      </w:pPr>
      <w:r>
        <w:rPr>
          <w:rFonts w:hint="eastAsia" w:ascii="宋体" w:hAnsi="宋体" w:cs="宋体"/>
          <w:bCs/>
          <w:sz w:val="32"/>
          <w:szCs w:val="32"/>
        </w:rPr>
        <w:t>大城县委办公室主要职责是县委文件的上报下达、文件传阅，信息反馈、编发，搞好调查调研，为领导决策提供依据。</w:t>
      </w:r>
    </w:p>
    <w:p>
      <w:pPr>
        <w:ind w:firstLine="640" w:firstLineChars="200"/>
        <w:rPr>
          <w:rFonts w:ascii="宋体" w:cs="仿宋_GB2312"/>
          <w:sz w:val="32"/>
          <w:szCs w:val="32"/>
        </w:rPr>
      </w:pPr>
      <w:r>
        <w:rPr>
          <w:rFonts w:ascii="宋体" w:hAnsi="宋体" w:cs="仿宋_GB2312"/>
          <w:sz w:val="32"/>
          <w:szCs w:val="32"/>
        </w:rPr>
        <w:t>1</w:t>
      </w:r>
      <w:r>
        <w:rPr>
          <w:rFonts w:hint="eastAsia" w:ascii="宋体" w:hAnsi="宋体" w:cs="仿宋_GB2312"/>
          <w:sz w:val="32"/>
          <w:szCs w:val="32"/>
        </w:rPr>
        <w:t>、承担县委、县委领导同志交办的文件、讲话等文稿的起草或修改工作；负责县委文件和县委办公室代县委行文的起草和核审工作；承担为县委制定决策和有关政策的服务工作；负责内刊编辑工作。</w:t>
      </w:r>
    </w:p>
    <w:p>
      <w:pPr>
        <w:ind w:firstLine="640" w:firstLineChars="200"/>
        <w:rPr>
          <w:rFonts w:ascii="宋体" w:cs="仿宋_GB2312"/>
          <w:sz w:val="32"/>
          <w:szCs w:val="32"/>
        </w:rPr>
      </w:pPr>
      <w:r>
        <w:rPr>
          <w:rFonts w:ascii="宋体" w:hAnsi="宋体" w:cs="仿宋_GB2312"/>
          <w:sz w:val="32"/>
          <w:szCs w:val="32"/>
        </w:rPr>
        <w:t>2</w:t>
      </w:r>
      <w:r>
        <w:rPr>
          <w:rFonts w:hint="eastAsia" w:ascii="宋体" w:hAnsi="宋体" w:cs="仿宋_GB2312"/>
          <w:sz w:val="32"/>
          <w:szCs w:val="32"/>
        </w:rPr>
        <w:t>、围绕中央和省、市、县委总体工作部署开展综合、专题调研、收集和处理信息、反馈动态。</w:t>
      </w:r>
    </w:p>
    <w:p>
      <w:pPr>
        <w:ind w:firstLine="640" w:firstLineChars="200"/>
        <w:rPr>
          <w:rFonts w:ascii="宋体" w:cs="仿宋_GB2312"/>
          <w:sz w:val="32"/>
          <w:szCs w:val="32"/>
        </w:rPr>
      </w:pPr>
      <w:r>
        <w:rPr>
          <w:rFonts w:ascii="宋体" w:hAnsi="宋体" w:cs="仿宋_GB2312"/>
          <w:sz w:val="32"/>
          <w:szCs w:val="32"/>
        </w:rPr>
        <w:t>3</w:t>
      </w:r>
      <w:r>
        <w:rPr>
          <w:rFonts w:hint="eastAsia" w:ascii="宋体" w:hAnsi="宋体" w:cs="仿宋_GB2312"/>
          <w:sz w:val="32"/>
          <w:szCs w:val="32"/>
        </w:rPr>
        <w:t>、承担中央和省、市、县委重要工作部署贯彻落实的督促检查，负责中央和省、市、县委领导同志批示件的转达和催办落实。</w:t>
      </w:r>
    </w:p>
    <w:p>
      <w:pPr>
        <w:ind w:firstLine="640" w:firstLineChars="200"/>
        <w:rPr>
          <w:rFonts w:ascii="宋体" w:cs="仿宋_GB2312"/>
          <w:sz w:val="32"/>
          <w:szCs w:val="32"/>
        </w:rPr>
      </w:pPr>
      <w:r>
        <w:rPr>
          <w:rFonts w:ascii="宋体" w:hAnsi="宋体" w:cs="仿宋_GB2312"/>
          <w:sz w:val="32"/>
          <w:szCs w:val="32"/>
        </w:rPr>
        <w:t>4</w:t>
      </w:r>
      <w:r>
        <w:rPr>
          <w:rFonts w:hint="eastAsia" w:ascii="宋体" w:hAnsi="宋体" w:cs="仿宋_GB2312"/>
          <w:sz w:val="32"/>
          <w:szCs w:val="32"/>
        </w:rPr>
        <w:t>、负责县委日常文书处理和值班工作，以及各种会议的会务工作和县委日常工作活动的组织安排。</w:t>
      </w:r>
    </w:p>
    <w:p>
      <w:pPr>
        <w:ind w:firstLine="640" w:firstLineChars="200"/>
        <w:rPr>
          <w:rFonts w:ascii="宋体" w:cs="仿宋_GB2312"/>
          <w:sz w:val="32"/>
          <w:szCs w:val="32"/>
        </w:rPr>
      </w:pPr>
      <w:r>
        <w:rPr>
          <w:rFonts w:ascii="宋体" w:hAnsi="宋体" w:cs="仿宋_GB2312"/>
          <w:sz w:val="32"/>
          <w:szCs w:val="32"/>
        </w:rPr>
        <w:t>5</w:t>
      </w:r>
      <w:r>
        <w:rPr>
          <w:rFonts w:hint="eastAsia" w:ascii="宋体" w:hAnsi="宋体" w:cs="仿宋_GB2312"/>
          <w:sz w:val="32"/>
          <w:szCs w:val="32"/>
        </w:rPr>
        <w:t>、承担县委保密委员会办公室的日常工作。</w:t>
      </w:r>
    </w:p>
    <w:p>
      <w:pPr>
        <w:ind w:firstLine="640" w:firstLineChars="200"/>
        <w:rPr>
          <w:rFonts w:ascii="宋体" w:cs="仿宋_GB2312"/>
          <w:sz w:val="32"/>
          <w:szCs w:val="32"/>
        </w:rPr>
      </w:pPr>
      <w:r>
        <w:rPr>
          <w:rFonts w:ascii="宋体" w:hAnsi="宋体" w:cs="仿宋_GB2312"/>
          <w:sz w:val="32"/>
          <w:szCs w:val="32"/>
        </w:rPr>
        <w:t>6</w:t>
      </w:r>
      <w:r>
        <w:rPr>
          <w:rFonts w:hint="eastAsia" w:ascii="宋体" w:hAnsi="宋体" w:cs="仿宋_GB2312"/>
          <w:sz w:val="32"/>
          <w:szCs w:val="32"/>
        </w:rPr>
        <w:t>、承担</w:t>
      </w:r>
      <w:r>
        <w:rPr>
          <w:rFonts w:ascii="宋体" w:hAnsi="宋体" w:cs="仿宋_GB2312"/>
          <w:sz w:val="32"/>
          <w:szCs w:val="32"/>
        </w:rPr>
        <w:t>610</w:t>
      </w:r>
      <w:r>
        <w:rPr>
          <w:rFonts w:hint="eastAsia" w:ascii="宋体" w:hAnsi="宋体" w:cs="仿宋_GB2312"/>
          <w:sz w:val="32"/>
          <w:szCs w:val="32"/>
        </w:rPr>
        <w:t>办公室的日常工作。</w:t>
      </w:r>
    </w:p>
    <w:p>
      <w:pPr>
        <w:ind w:firstLine="640" w:firstLineChars="200"/>
        <w:rPr>
          <w:rFonts w:ascii="宋体" w:cs="仿宋_GB2312"/>
          <w:sz w:val="32"/>
          <w:szCs w:val="32"/>
        </w:rPr>
      </w:pPr>
      <w:r>
        <w:rPr>
          <w:rFonts w:ascii="宋体" w:hAnsi="宋体" w:cs="仿宋_GB2312"/>
          <w:sz w:val="32"/>
          <w:szCs w:val="32"/>
        </w:rPr>
        <w:t>7</w:t>
      </w:r>
      <w:r>
        <w:rPr>
          <w:rFonts w:hint="eastAsia" w:ascii="宋体" w:hAnsi="宋体" w:cs="仿宋_GB2312"/>
          <w:sz w:val="32"/>
          <w:szCs w:val="32"/>
        </w:rPr>
        <w:t>、按照县委、县政府有关规定，管理县委、县政府信访局。</w:t>
      </w:r>
    </w:p>
    <w:p>
      <w:pPr>
        <w:ind w:firstLine="640" w:firstLineChars="200"/>
        <w:rPr>
          <w:rFonts w:ascii="宋体" w:cs="仿宋_GB2312"/>
          <w:sz w:val="32"/>
          <w:szCs w:val="32"/>
        </w:rPr>
      </w:pPr>
      <w:r>
        <w:rPr>
          <w:rFonts w:ascii="宋体" w:hAnsi="宋体" w:cs="仿宋_GB2312"/>
          <w:sz w:val="32"/>
          <w:szCs w:val="32"/>
        </w:rPr>
        <w:t>8</w:t>
      </w:r>
      <w:r>
        <w:rPr>
          <w:rFonts w:hint="eastAsia" w:ascii="宋体" w:hAnsi="宋体" w:cs="仿宋_GB2312"/>
          <w:sz w:val="32"/>
          <w:szCs w:val="32"/>
        </w:rPr>
        <w:t>、负责县委领导同志和部分原县级领导同志以及本室离退休同志的生活服务和阅文、参加有关活动的事务服务工作。</w:t>
      </w:r>
    </w:p>
    <w:p>
      <w:pPr>
        <w:ind w:firstLine="640" w:firstLineChars="200"/>
        <w:rPr>
          <w:rFonts w:ascii="宋体" w:cs="仿宋_GB2312"/>
          <w:sz w:val="32"/>
          <w:szCs w:val="32"/>
        </w:rPr>
      </w:pPr>
      <w:r>
        <w:rPr>
          <w:rFonts w:ascii="宋体" w:hAnsi="宋体" w:cs="仿宋_GB2312"/>
          <w:sz w:val="32"/>
          <w:szCs w:val="32"/>
        </w:rPr>
        <w:t>9</w:t>
      </w:r>
      <w:r>
        <w:rPr>
          <w:rFonts w:hint="eastAsia" w:ascii="宋体" w:hAnsi="宋体" w:cs="仿宋_GB2312"/>
          <w:sz w:val="32"/>
          <w:szCs w:val="32"/>
        </w:rPr>
        <w:t>、负责县委机关房产、基建、维修、物资分配和其他行政事务工作，负责管理县委机关的经费预算决算、经费拨款和财务审计。</w:t>
      </w:r>
    </w:p>
    <w:p>
      <w:pPr>
        <w:ind w:firstLine="640" w:firstLineChars="200"/>
        <w:rPr>
          <w:rFonts w:ascii="宋体" w:cs="仿宋_GB2312"/>
          <w:sz w:val="32"/>
          <w:szCs w:val="32"/>
        </w:rPr>
      </w:pPr>
      <w:r>
        <w:rPr>
          <w:rFonts w:ascii="宋体" w:hAnsi="宋体" w:cs="仿宋_GB2312"/>
          <w:sz w:val="32"/>
          <w:szCs w:val="32"/>
        </w:rPr>
        <w:t>10</w:t>
      </w:r>
      <w:r>
        <w:rPr>
          <w:rFonts w:hint="eastAsia" w:ascii="宋体" w:hAnsi="宋体" w:cs="仿宋_GB2312"/>
          <w:sz w:val="32"/>
          <w:szCs w:val="32"/>
        </w:rPr>
        <w:t>、负责上级党委领导、兄弟省、市、县党委领导同志以及办公室系统来客的接待服务工作，负责县委领导交办的其他接待任务。</w:t>
      </w:r>
    </w:p>
    <w:p>
      <w:pPr>
        <w:ind w:firstLine="640" w:firstLineChars="200"/>
        <w:rPr>
          <w:rFonts w:ascii="宋体" w:cs="仿宋_GB2312"/>
          <w:sz w:val="32"/>
          <w:szCs w:val="32"/>
        </w:rPr>
      </w:pPr>
      <w:r>
        <w:rPr>
          <w:rFonts w:ascii="宋体" w:hAnsi="宋体" w:cs="仿宋_GB2312"/>
          <w:sz w:val="32"/>
          <w:szCs w:val="32"/>
        </w:rPr>
        <w:t>11</w:t>
      </w:r>
      <w:r>
        <w:rPr>
          <w:rFonts w:hint="eastAsia" w:ascii="宋体" w:hAnsi="宋体" w:cs="仿宋_GB2312"/>
          <w:sz w:val="32"/>
          <w:szCs w:val="32"/>
        </w:rPr>
        <w:t>、负责本室的人事管理和党务工作；指导县委机关的党建工作；负责县委机关的精神文明建设和安全保卫工作。</w:t>
      </w:r>
    </w:p>
    <w:p>
      <w:pPr>
        <w:ind w:firstLine="640" w:firstLineChars="200"/>
        <w:rPr>
          <w:rFonts w:hint="eastAsia" w:ascii="宋体" w:hAnsi="宋体" w:cs="仿宋_GB2312"/>
          <w:sz w:val="32"/>
          <w:szCs w:val="32"/>
        </w:rPr>
      </w:pPr>
      <w:r>
        <w:rPr>
          <w:rFonts w:ascii="宋体" w:hAnsi="宋体" w:cs="仿宋_GB2312"/>
          <w:sz w:val="32"/>
          <w:szCs w:val="32"/>
        </w:rPr>
        <w:t>12</w:t>
      </w:r>
      <w:r>
        <w:rPr>
          <w:rFonts w:hint="eastAsia" w:ascii="宋体" w:hAnsi="宋体" w:cs="仿宋_GB2312"/>
          <w:sz w:val="32"/>
          <w:szCs w:val="32"/>
        </w:rPr>
        <w:t>、完成县委领导交办的其他任务。</w:t>
      </w:r>
    </w:p>
    <w:p>
      <w:pPr>
        <w:ind w:firstLine="640" w:firstLineChars="200"/>
        <w:rPr>
          <w:rFonts w:hint="eastAsia" w:ascii="宋体" w:hAnsi="宋体" w:cs="仿宋_GB2312"/>
          <w:sz w:val="32"/>
          <w:szCs w:val="32"/>
        </w:rPr>
      </w:pPr>
    </w:p>
    <w:p>
      <w:pPr>
        <w:ind w:firstLine="640" w:firstLineChars="200"/>
        <w:rPr>
          <w:rFonts w:hint="eastAsia" w:ascii="宋体" w:hAnsi="宋体" w:cs="仿宋_GB2312"/>
          <w:sz w:val="32"/>
          <w:szCs w:val="32"/>
        </w:rPr>
      </w:pPr>
    </w:p>
    <w:p>
      <w:pPr>
        <w:ind w:firstLine="640" w:firstLineChars="200"/>
        <w:rPr>
          <w:rFonts w:hint="eastAsia" w:ascii="宋体" w:hAnsi="宋体" w:cs="仿宋_GB2312"/>
          <w:sz w:val="32"/>
          <w:szCs w:val="32"/>
        </w:rPr>
      </w:pPr>
    </w:p>
    <w:p>
      <w:pPr>
        <w:ind w:firstLine="640" w:firstLineChars="200"/>
        <w:rPr>
          <w:rFonts w:hint="eastAsia" w:ascii="宋体" w:hAnsi="宋体" w:cs="仿宋_GB2312"/>
          <w:sz w:val="32"/>
          <w:szCs w:val="32"/>
        </w:rPr>
      </w:pPr>
    </w:p>
    <w:p>
      <w:pPr>
        <w:ind w:firstLine="640" w:firstLineChars="200"/>
        <w:rPr>
          <w:rFonts w:hint="eastAsia" w:ascii="宋体" w:hAnsi="宋体" w:cs="仿宋_GB2312"/>
          <w:sz w:val="32"/>
          <w:szCs w:val="32"/>
        </w:rPr>
      </w:pP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b/>
          <w:sz w:val="32"/>
          <w:szCs w:val="24"/>
        </w:rPr>
      </w:pPr>
      <w:r>
        <w:rPr>
          <w:rFonts w:hint="eastAsia" w:ascii="宋体" w:hAnsi="宋体" w:cs="宋体"/>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b/>
                <w:szCs w:val="24"/>
              </w:rPr>
            </w:pPr>
            <w:r>
              <w:rPr>
                <w:rFonts w:hint="eastAsia" w:ascii="宋体" w:hAnsi="宋体" w:cs="宋体"/>
                <w:b/>
                <w:szCs w:val="24"/>
              </w:rPr>
              <w:t>单位名称</w:t>
            </w:r>
          </w:p>
        </w:tc>
        <w:tc>
          <w:tcPr>
            <w:tcW w:w="1134" w:type="dxa"/>
            <w:vMerge w:val="restart"/>
            <w:vAlign w:val="center"/>
          </w:tcPr>
          <w:p>
            <w:pPr>
              <w:spacing w:line="584" w:lineRule="exact"/>
              <w:jc w:val="center"/>
              <w:rPr>
                <w:rFonts w:ascii="Times New Roman" w:hAnsi="Times New Roman"/>
                <w:b/>
                <w:szCs w:val="24"/>
              </w:rPr>
            </w:pPr>
            <w:r>
              <w:rPr>
                <w:rFonts w:hint="eastAsia" w:ascii="宋体" w:hAnsi="宋体" w:cs="宋体"/>
                <w:b/>
                <w:szCs w:val="24"/>
              </w:rPr>
              <w:t>单位性质</w:t>
            </w:r>
          </w:p>
        </w:tc>
        <w:tc>
          <w:tcPr>
            <w:tcW w:w="1276" w:type="dxa"/>
            <w:vMerge w:val="restart"/>
            <w:vAlign w:val="center"/>
          </w:tcPr>
          <w:p>
            <w:pPr>
              <w:spacing w:line="584" w:lineRule="exact"/>
              <w:jc w:val="center"/>
              <w:rPr>
                <w:rFonts w:ascii="Times New Roman" w:hAnsi="Times New Roman"/>
                <w:b/>
                <w:szCs w:val="24"/>
              </w:rPr>
            </w:pPr>
            <w:r>
              <w:rPr>
                <w:rFonts w:hint="eastAsia" w:ascii="宋体" w:hAnsi="宋体" w:cs="宋体"/>
                <w:b/>
                <w:szCs w:val="24"/>
              </w:rPr>
              <w:t>单位规格</w:t>
            </w:r>
          </w:p>
        </w:tc>
        <w:tc>
          <w:tcPr>
            <w:tcW w:w="2902" w:type="dxa"/>
            <w:vMerge w:val="restart"/>
            <w:vAlign w:val="center"/>
          </w:tcPr>
          <w:p>
            <w:pPr>
              <w:spacing w:line="584" w:lineRule="exact"/>
              <w:jc w:val="center"/>
              <w:rPr>
                <w:rFonts w:ascii="Times New Roman" w:hAnsi="Times New Roman"/>
                <w:b/>
                <w:szCs w:val="24"/>
              </w:rPr>
            </w:pPr>
            <w:r>
              <w:rPr>
                <w:rFonts w:hint="eastAsia" w:ascii="宋体" w:hAnsi="宋体" w:cs="宋体"/>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szCs w:val="24"/>
              </w:rPr>
            </w:pPr>
          </w:p>
        </w:tc>
        <w:tc>
          <w:tcPr>
            <w:tcW w:w="1134" w:type="dxa"/>
            <w:vMerge w:val="continue"/>
            <w:vAlign w:val="center"/>
          </w:tcPr>
          <w:p>
            <w:pPr>
              <w:spacing w:line="584" w:lineRule="exact"/>
              <w:jc w:val="left"/>
              <w:outlineLvl w:val="0"/>
              <w:rPr>
                <w:rFonts w:ascii="Times New Roman" w:hAnsi="Times New Roman"/>
                <w:szCs w:val="24"/>
              </w:rPr>
            </w:pPr>
          </w:p>
        </w:tc>
        <w:tc>
          <w:tcPr>
            <w:tcW w:w="1276" w:type="dxa"/>
            <w:vMerge w:val="continue"/>
            <w:vAlign w:val="center"/>
          </w:tcPr>
          <w:p>
            <w:pPr>
              <w:spacing w:line="584" w:lineRule="exact"/>
              <w:jc w:val="left"/>
              <w:outlineLvl w:val="0"/>
              <w:rPr>
                <w:rFonts w:ascii="Times New Roman" w:hAnsi="Times New Roman"/>
                <w:szCs w:val="24"/>
              </w:rPr>
            </w:pPr>
          </w:p>
        </w:tc>
        <w:tc>
          <w:tcPr>
            <w:tcW w:w="2902" w:type="dxa"/>
            <w:vMerge w:val="continue"/>
            <w:vAlign w:val="center"/>
          </w:tcPr>
          <w:p>
            <w:pPr>
              <w:spacing w:line="584"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b/>
              </w:rPr>
            </w:pPr>
            <w:r>
              <w:rPr>
                <w:rFonts w:hint="eastAsia" w:ascii="宋体" w:hAnsi="宋体" w:cs="宋体"/>
                <w:b/>
              </w:rPr>
              <w:t>合计</w:t>
            </w:r>
          </w:p>
        </w:tc>
        <w:tc>
          <w:tcPr>
            <w:tcW w:w="1134" w:type="dxa"/>
            <w:vAlign w:val="center"/>
          </w:tcPr>
          <w:p>
            <w:pPr>
              <w:spacing w:line="584" w:lineRule="exact"/>
              <w:jc w:val="center"/>
              <w:rPr>
                <w:rFonts w:ascii="Times New Roman" w:hAnsi="Times New Roman"/>
                <w:b/>
              </w:rPr>
            </w:pPr>
            <w:r>
              <w:rPr>
                <w:rFonts w:ascii="Times New Roman" w:hAnsi="Times New Roman"/>
                <w:b/>
              </w:rPr>
              <w:t>1</w:t>
            </w:r>
          </w:p>
        </w:tc>
        <w:tc>
          <w:tcPr>
            <w:tcW w:w="1276" w:type="dxa"/>
            <w:vAlign w:val="center"/>
          </w:tcPr>
          <w:p>
            <w:pPr>
              <w:spacing w:line="584" w:lineRule="exact"/>
              <w:jc w:val="center"/>
              <w:rPr>
                <w:rFonts w:ascii="Times New Roman" w:hAnsi="Times New Roman"/>
                <w:b/>
              </w:rPr>
            </w:pPr>
            <w:r>
              <w:rPr>
                <w:rFonts w:ascii="Times New Roman" w:hAnsi="Times New Roman"/>
                <w:b/>
              </w:rPr>
              <w:t>1</w:t>
            </w:r>
          </w:p>
        </w:tc>
        <w:tc>
          <w:tcPr>
            <w:tcW w:w="2902" w:type="dxa"/>
            <w:vAlign w:val="center"/>
          </w:tcPr>
          <w:p>
            <w:pPr>
              <w:spacing w:line="584" w:lineRule="exact"/>
              <w:jc w:val="center"/>
              <w:rPr>
                <w:rFonts w:ascii="Times New Roman" w:hAnsi="Times New Roman"/>
                <w:b/>
              </w:rPr>
            </w:pPr>
            <w:r>
              <w:rPr>
                <w:rFonts w:ascii="Times New Roman" w:hAnsi="Times New Roman"/>
                <w:b/>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rPr>
            </w:pPr>
            <w:r>
              <w:rPr>
                <w:rFonts w:hint="eastAsia" w:ascii="宋体" w:hAnsi="宋体" w:cs="宋体"/>
              </w:rPr>
              <w:t>中共河北省大城县委办公室</w:t>
            </w:r>
          </w:p>
        </w:tc>
        <w:tc>
          <w:tcPr>
            <w:tcW w:w="1134" w:type="dxa"/>
            <w:vAlign w:val="center"/>
          </w:tcPr>
          <w:p>
            <w:pPr>
              <w:spacing w:line="584" w:lineRule="exact"/>
              <w:jc w:val="center"/>
              <w:rPr>
                <w:rFonts w:ascii="Times New Roman" w:hAnsi="Times New Roman"/>
              </w:rPr>
            </w:pPr>
            <w:r>
              <w:rPr>
                <w:rFonts w:hint="eastAsia" w:ascii="宋体" w:hAnsi="宋体" w:cs="宋体"/>
              </w:rPr>
              <w:t>行政单位</w:t>
            </w:r>
          </w:p>
        </w:tc>
        <w:tc>
          <w:tcPr>
            <w:tcW w:w="1276" w:type="dxa"/>
            <w:vAlign w:val="center"/>
          </w:tcPr>
          <w:p>
            <w:pPr>
              <w:spacing w:line="584" w:lineRule="exact"/>
              <w:jc w:val="center"/>
              <w:rPr>
                <w:rFonts w:ascii="Times New Roman" w:hAnsi="Times New Roman"/>
              </w:rPr>
            </w:pPr>
            <w:r>
              <w:rPr>
                <w:rFonts w:hint="eastAsia" w:ascii="宋体" w:hAnsi="宋体" w:cs="宋体"/>
              </w:rPr>
              <w:t>处级</w:t>
            </w:r>
          </w:p>
        </w:tc>
        <w:tc>
          <w:tcPr>
            <w:tcW w:w="2902" w:type="dxa"/>
            <w:vAlign w:val="center"/>
          </w:tcPr>
          <w:p>
            <w:pPr>
              <w:spacing w:line="584" w:lineRule="exact"/>
              <w:jc w:val="center"/>
              <w:rPr>
                <w:rFonts w:ascii="Times New Roman" w:hAnsi="Times New Roman"/>
              </w:rPr>
            </w:pPr>
            <w:r>
              <w:rPr>
                <w:rFonts w:hint="eastAsia" w:ascii="宋体" w:hAnsi="宋体"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rPr>
            </w:pPr>
          </w:p>
        </w:tc>
        <w:tc>
          <w:tcPr>
            <w:tcW w:w="1134" w:type="dxa"/>
            <w:vAlign w:val="center"/>
          </w:tcPr>
          <w:p>
            <w:pPr>
              <w:spacing w:line="584" w:lineRule="exact"/>
              <w:jc w:val="center"/>
              <w:rPr>
                <w:rFonts w:ascii="Times New Roman" w:hAnsi="Times New Roman"/>
              </w:rPr>
            </w:pPr>
          </w:p>
        </w:tc>
        <w:tc>
          <w:tcPr>
            <w:tcW w:w="1276" w:type="dxa"/>
            <w:vAlign w:val="center"/>
          </w:tcPr>
          <w:p>
            <w:pPr>
              <w:spacing w:line="584" w:lineRule="exact"/>
              <w:jc w:val="center"/>
              <w:rPr>
                <w:rFonts w:ascii="Times New Roman" w:hAnsi="Times New Roman"/>
              </w:rPr>
            </w:pPr>
          </w:p>
        </w:tc>
        <w:tc>
          <w:tcPr>
            <w:tcW w:w="2902" w:type="dxa"/>
            <w:vAlign w:val="center"/>
          </w:tcPr>
          <w:p>
            <w:pPr>
              <w:spacing w:line="584" w:lineRule="exact"/>
              <w:jc w:val="center"/>
              <w:rPr>
                <w:rFonts w:ascii="Times New Roman" w:hAnsi="Times New Roman"/>
              </w:rPr>
            </w:pP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sz w:val="32"/>
          <w:szCs w:val="32"/>
        </w:rPr>
      </w:pPr>
      <w:r>
        <w:rPr>
          <w:rFonts w:hint="eastAsia" w:ascii="宋体" w:hAnsi="宋体" w:cs="宋体"/>
          <w:sz w:val="32"/>
          <w:szCs w:val="32"/>
        </w:rPr>
        <w:t>按照预算管理有关规定，目前我县部门预算的编制实行综合预算制度，即全部收入和支出都反映在预算中。中共河北省大城县委办公室的收支包含在部门预算中。</w:t>
      </w:r>
    </w:p>
    <w:p>
      <w:pPr>
        <w:spacing w:line="584" w:lineRule="exact"/>
        <w:ind w:firstLine="640"/>
        <w:rPr>
          <w:rFonts w:ascii="Times New Roman" w:hAnsi="Times New Roman"/>
          <w:b/>
          <w:sz w:val="32"/>
          <w:szCs w:val="32"/>
        </w:rPr>
      </w:pPr>
      <w:r>
        <w:rPr>
          <w:rFonts w:ascii="Times New Roman" w:hAnsi="Times New Roman"/>
          <w:b/>
          <w:sz w:val="32"/>
          <w:szCs w:val="32"/>
        </w:rPr>
        <w:t>1</w:t>
      </w:r>
      <w:r>
        <w:rPr>
          <w:rFonts w:hint="eastAsia" w:ascii="宋体" w:hAnsi="宋体" w:cs="宋体"/>
          <w:b/>
          <w:sz w:val="32"/>
          <w:szCs w:val="32"/>
        </w:rPr>
        <w:t>、收入说明</w:t>
      </w:r>
    </w:p>
    <w:p>
      <w:pPr>
        <w:spacing w:line="584" w:lineRule="exact"/>
        <w:ind w:firstLine="640"/>
        <w:rPr>
          <w:rFonts w:ascii="Times New Roman" w:hAnsi="Times New Roman"/>
          <w:b/>
          <w:sz w:val="32"/>
          <w:szCs w:val="32"/>
        </w:rPr>
      </w:pPr>
      <w:r>
        <w:rPr>
          <w:rFonts w:hint="eastAsia" w:ascii="宋体" w:hAnsi="宋体" w:cs="宋体"/>
          <w:sz w:val="32"/>
          <w:szCs w:val="32"/>
        </w:rPr>
        <w:t>反映本部门当年全部收入。</w:t>
      </w:r>
      <w:r>
        <w:rPr>
          <w:rFonts w:ascii="Times New Roman" w:hAnsi="Times New Roman"/>
          <w:sz w:val="32"/>
          <w:szCs w:val="32"/>
        </w:rPr>
        <w:t>2019</w:t>
      </w:r>
      <w:r>
        <w:rPr>
          <w:rFonts w:hint="eastAsia" w:ascii="宋体" w:hAnsi="宋体" w:cs="宋体"/>
          <w:sz w:val="32"/>
          <w:szCs w:val="32"/>
        </w:rPr>
        <w:t>年预算收入</w:t>
      </w:r>
      <w:r>
        <w:rPr>
          <w:rFonts w:ascii="Times New Roman" w:hAnsi="Times New Roman"/>
          <w:sz w:val="32"/>
          <w:szCs w:val="32"/>
        </w:rPr>
        <w:t>1042.25</w:t>
      </w:r>
      <w:r>
        <w:rPr>
          <w:rFonts w:hint="eastAsia" w:ascii="宋体" w:hAnsi="宋体" w:cs="宋体"/>
          <w:sz w:val="32"/>
          <w:szCs w:val="32"/>
        </w:rPr>
        <w:t>万元，其中：一般公共预算收入</w:t>
      </w:r>
      <w:r>
        <w:rPr>
          <w:rFonts w:ascii="Times New Roman" w:hAnsi="Times New Roman"/>
          <w:sz w:val="32"/>
          <w:szCs w:val="32"/>
        </w:rPr>
        <w:t>1042.25</w:t>
      </w:r>
      <w:r>
        <w:rPr>
          <w:rFonts w:hint="eastAsia" w:ascii="宋体" w:hAnsi="宋体" w:cs="宋体"/>
          <w:sz w:val="32"/>
          <w:szCs w:val="32"/>
        </w:rPr>
        <w:t>万元，基金预算收入</w:t>
      </w:r>
      <w:r>
        <w:rPr>
          <w:rFonts w:ascii="Times New Roman" w:hAnsi="Times New Roman"/>
          <w:sz w:val="32"/>
          <w:szCs w:val="32"/>
        </w:rPr>
        <w:t>0</w:t>
      </w:r>
      <w:r>
        <w:rPr>
          <w:rFonts w:hint="eastAsia" w:ascii="宋体" w:hAnsi="宋体" w:cs="宋体"/>
          <w:sz w:val="32"/>
          <w:szCs w:val="32"/>
        </w:rPr>
        <w:t>万元，财政专户核拨收入</w:t>
      </w:r>
      <w:r>
        <w:rPr>
          <w:rFonts w:ascii="Times New Roman" w:hAnsi="Times New Roman"/>
          <w:sz w:val="32"/>
          <w:szCs w:val="32"/>
        </w:rPr>
        <w:t>0</w:t>
      </w:r>
      <w:r>
        <w:rPr>
          <w:rFonts w:hint="eastAsia" w:ascii="宋体" w:hAnsi="宋体" w:cs="宋体"/>
          <w:sz w:val="32"/>
          <w:szCs w:val="32"/>
        </w:rPr>
        <w:t>万元，其他来源收入</w:t>
      </w:r>
      <w:r>
        <w:rPr>
          <w:rFonts w:ascii="Times New Roman" w:hAnsi="Times New Roman"/>
          <w:sz w:val="32"/>
          <w:szCs w:val="32"/>
        </w:rPr>
        <w:t>0</w:t>
      </w:r>
      <w:r>
        <w:rPr>
          <w:rFonts w:hint="eastAsia" w:ascii="宋体" w:hAnsi="宋体" w:cs="宋体"/>
          <w:sz w:val="32"/>
          <w:szCs w:val="32"/>
        </w:rPr>
        <w:t>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、支出说明</w:t>
      </w:r>
    </w:p>
    <w:p>
      <w:pPr>
        <w:spacing w:line="584" w:lineRule="exact"/>
        <w:ind w:firstLine="640"/>
        <w:rPr>
          <w:rFonts w:ascii="Times New Roman" w:hAnsi="Times New Roman"/>
          <w:sz w:val="32"/>
          <w:szCs w:val="32"/>
        </w:rPr>
      </w:pPr>
      <w:r>
        <w:rPr>
          <w:rFonts w:hint="eastAsia" w:ascii="宋体" w:hAnsi="宋体" w:cs="宋体"/>
          <w:sz w:val="32"/>
          <w:szCs w:val="32"/>
        </w:rPr>
        <w:t>收支预算总表支出栏、基本支出表、项目支出表按经济分类和支出功能分类科目编制，反映中共河北省大城县委办公室</w:t>
      </w:r>
      <w:r>
        <w:rPr>
          <w:rFonts w:ascii="Times New Roman" w:hAnsi="Times New Roman"/>
          <w:sz w:val="32"/>
          <w:szCs w:val="32"/>
        </w:rPr>
        <w:t>2019</w:t>
      </w:r>
      <w:r>
        <w:rPr>
          <w:rFonts w:hint="eastAsia" w:ascii="宋体" w:hAnsi="宋体" w:cs="宋体"/>
          <w:sz w:val="32"/>
          <w:szCs w:val="32"/>
        </w:rPr>
        <w:t>年度部门预算中支出预算的总体情况。</w:t>
      </w:r>
      <w:r>
        <w:rPr>
          <w:rFonts w:ascii="Times New Roman" w:hAnsi="Times New Roman"/>
          <w:sz w:val="32"/>
          <w:szCs w:val="32"/>
        </w:rPr>
        <w:t>2019</w:t>
      </w:r>
      <w:r>
        <w:rPr>
          <w:rFonts w:hint="eastAsia" w:ascii="宋体" w:hAnsi="宋体" w:cs="宋体"/>
          <w:sz w:val="32"/>
          <w:szCs w:val="32"/>
        </w:rPr>
        <w:t>年支出预算</w:t>
      </w:r>
      <w:r>
        <w:rPr>
          <w:rFonts w:ascii="Times New Roman" w:hAnsi="Times New Roman"/>
          <w:sz w:val="32"/>
          <w:szCs w:val="32"/>
        </w:rPr>
        <w:t>1042.25</w:t>
      </w:r>
      <w:r>
        <w:rPr>
          <w:rFonts w:hint="eastAsia" w:ascii="宋体" w:hAnsi="宋体" w:cs="宋体"/>
          <w:sz w:val="32"/>
          <w:szCs w:val="32"/>
        </w:rPr>
        <w:t>万元，其中基本支出</w:t>
      </w:r>
      <w:r>
        <w:rPr>
          <w:rFonts w:ascii="Times New Roman" w:hAnsi="Times New Roman"/>
          <w:sz w:val="32"/>
          <w:szCs w:val="32"/>
        </w:rPr>
        <w:t>352.65</w:t>
      </w:r>
      <w:r>
        <w:rPr>
          <w:rFonts w:hint="eastAsia" w:ascii="宋体" w:hAnsi="宋体" w:cs="宋体"/>
          <w:sz w:val="32"/>
          <w:szCs w:val="32"/>
        </w:rPr>
        <w:t>万元，包括人员经费</w:t>
      </w:r>
      <w:r>
        <w:rPr>
          <w:rFonts w:ascii="Times New Roman" w:hAnsi="Times New Roman"/>
          <w:sz w:val="32"/>
          <w:szCs w:val="32"/>
        </w:rPr>
        <w:t>285.9</w:t>
      </w:r>
      <w:r>
        <w:rPr>
          <w:rFonts w:hint="eastAsia" w:ascii="宋体" w:hAnsi="宋体" w:cs="宋体"/>
          <w:sz w:val="32"/>
          <w:szCs w:val="32"/>
        </w:rPr>
        <w:t>万元和日常公用经费</w:t>
      </w:r>
      <w:r>
        <w:rPr>
          <w:rFonts w:ascii="Times New Roman" w:hAnsi="Times New Roman"/>
          <w:sz w:val="32"/>
          <w:szCs w:val="32"/>
        </w:rPr>
        <w:t>66.75</w:t>
      </w:r>
      <w:r>
        <w:rPr>
          <w:rFonts w:hint="eastAsia" w:ascii="宋体" w:hAnsi="宋体" w:cs="宋体"/>
          <w:sz w:val="32"/>
          <w:szCs w:val="32"/>
        </w:rPr>
        <w:t>元；项目支出</w:t>
      </w:r>
      <w:r>
        <w:rPr>
          <w:rFonts w:ascii="Times New Roman" w:hAnsi="Times New Roman"/>
          <w:sz w:val="32"/>
          <w:szCs w:val="32"/>
        </w:rPr>
        <w:t>689.6</w:t>
      </w:r>
      <w:r>
        <w:rPr>
          <w:rFonts w:hint="eastAsia" w:ascii="宋体" w:hAnsi="宋体" w:cs="宋体"/>
          <w:sz w:val="32"/>
          <w:szCs w:val="32"/>
        </w:rPr>
        <w:t>万元。</w:t>
      </w:r>
    </w:p>
    <w:p>
      <w:pPr>
        <w:spacing w:line="584" w:lineRule="exact"/>
        <w:ind w:firstLine="640"/>
        <w:rPr>
          <w:rFonts w:ascii="Times New Roman" w:hAnsi="Times New Roman"/>
          <w:b/>
          <w:sz w:val="32"/>
          <w:szCs w:val="32"/>
        </w:rPr>
      </w:pPr>
      <w:r>
        <w:rPr>
          <w:rFonts w:ascii="Times New Roman" w:hAnsi="Times New Roman"/>
          <w:b/>
          <w:sz w:val="32"/>
          <w:szCs w:val="32"/>
        </w:rPr>
        <w:t>3</w:t>
      </w:r>
      <w:r>
        <w:rPr>
          <w:rFonts w:hint="eastAsia" w:ascii="宋体" w:hAnsi="宋体" w:cs="宋体"/>
          <w:b/>
          <w:sz w:val="32"/>
          <w:szCs w:val="32"/>
        </w:rPr>
        <w:t>、比上年增减情况</w:t>
      </w:r>
    </w:p>
    <w:p>
      <w:pPr>
        <w:ind w:firstLine="640"/>
        <w:rPr>
          <w:rFonts w:ascii="仿宋_GB2312" w:hAnsi="仿宋_GB2312" w:eastAsia="仿宋_GB2312" w:cs="仿宋_GB2312"/>
          <w:sz w:val="32"/>
          <w:szCs w:val="32"/>
        </w:rPr>
      </w:pPr>
      <w:r>
        <w:rPr>
          <w:rFonts w:ascii="Times New Roman" w:hAnsi="Times New Roman"/>
          <w:sz w:val="32"/>
          <w:szCs w:val="32"/>
        </w:rPr>
        <w:t>2019</w:t>
      </w:r>
      <w:r>
        <w:rPr>
          <w:rFonts w:hint="eastAsia" w:ascii="宋体" w:hAnsi="宋体" w:cs="宋体"/>
          <w:sz w:val="32"/>
          <w:szCs w:val="32"/>
        </w:rPr>
        <w:t>年预算收支安排</w:t>
      </w:r>
      <w:r>
        <w:rPr>
          <w:rFonts w:ascii="宋体" w:hAnsi="宋体" w:cs="宋体"/>
          <w:sz w:val="32"/>
          <w:szCs w:val="32"/>
        </w:rPr>
        <w:t>1042.25</w:t>
      </w:r>
      <w:r>
        <w:rPr>
          <w:rFonts w:hint="eastAsia" w:ascii="宋体" w:hAnsi="宋体" w:cs="宋体"/>
          <w:sz w:val="32"/>
          <w:szCs w:val="32"/>
        </w:rPr>
        <w:t>万元，较</w:t>
      </w:r>
      <w:r>
        <w:rPr>
          <w:rFonts w:ascii="Times New Roman" w:hAnsi="Times New Roman"/>
          <w:sz w:val="32"/>
          <w:szCs w:val="32"/>
        </w:rPr>
        <w:t>2018</w:t>
      </w:r>
      <w:r>
        <w:rPr>
          <w:rFonts w:hint="eastAsia" w:ascii="宋体" w:hAnsi="宋体" w:cs="宋体"/>
          <w:sz w:val="32"/>
          <w:szCs w:val="32"/>
        </w:rPr>
        <w:t>年预算增加</w:t>
      </w:r>
      <w:r>
        <w:rPr>
          <w:rFonts w:ascii="Times New Roman" w:hAnsi="Times New Roman"/>
          <w:sz w:val="32"/>
          <w:szCs w:val="32"/>
        </w:rPr>
        <w:t>148.4</w:t>
      </w:r>
      <w:r>
        <w:rPr>
          <w:rFonts w:hint="eastAsia" w:ascii="宋体" w:hAnsi="宋体" w:cs="宋体"/>
          <w:sz w:val="32"/>
          <w:szCs w:val="32"/>
        </w:rPr>
        <w:t>万元，其中：基本支出增加</w:t>
      </w:r>
      <w:r>
        <w:rPr>
          <w:rFonts w:ascii="Times New Roman" w:hAnsi="Times New Roman"/>
          <w:sz w:val="32"/>
          <w:szCs w:val="32"/>
        </w:rPr>
        <w:t>7.8</w:t>
      </w:r>
      <w:r>
        <w:rPr>
          <w:rFonts w:hint="eastAsia" w:ascii="宋体" w:hAnsi="宋体" w:cs="宋体"/>
          <w:sz w:val="32"/>
          <w:szCs w:val="32"/>
        </w:rPr>
        <w:t>万元，主要为人员经费支出；项目支出增加</w:t>
      </w:r>
      <w:r>
        <w:rPr>
          <w:rFonts w:ascii="Times New Roman" w:hAnsi="Times New Roman"/>
          <w:sz w:val="32"/>
          <w:szCs w:val="32"/>
        </w:rPr>
        <w:t>140.6</w:t>
      </w:r>
      <w:r>
        <w:rPr>
          <w:rFonts w:hint="eastAsia" w:ascii="宋体" w:hAnsi="宋体" w:cs="宋体"/>
          <w:sz w:val="32"/>
          <w:szCs w:val="32"/>
        </w:rPr>
        <w:t>万元，主要为</w:t>
      </w:r>
      <w:r>
        <w:rPr>
          <w:rFonts w:hint="eastAsia" w:ascii="宋体" w:hAnsi="宋体" w:cs="仿宋_GB2312"/>
          <w:sz w:val="32"/>
          <w:szCs w:val="32"/>
        </w:rPr>
        <w:t>参谋协调运转、信息收集及民意调研等</w:t>
      </w:r>
      <w:r>
        <w:rPr>
          <w:rFonts w:hint="eastAsia" w:ascii="仿宋_GB2312" w:hAnsi="仿宋_GB2312" w:eastAsia="仿宋_GB2312" w:cs="仿宋_GB2312"/>
          <w:sz w:val="32"/>
          <w:szCs w:val="32"/>
        </w:rPr>
        <w:t>。</w:t>
      </w:r>
    </w:p>
    <w:p>
      <w:pPr>
        <w:autoSpaceDE w:val="0"/>
        <w:autoSpaceDN w:val="0"/>
        <w:adjustRightInd w:val="0"/>
        <w:spacing w:line="584" w:lineRule="exact"/>
        <w:ind w:left="198" w:firstLine="640" w:firstLineChars="20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sz w:val="32"/>
          <w:szCs w:val="32"/>
        </w:rPr>
      </w:pPr>
      <w:r>
        <w:rPr>
          <w:rFonts w:ascii="Times New Roman" w:hAnsi="Times New Roman"/>
          <w:sz w:val="32"/>
          <w:szCs w:val="32"/>
        </w:rPr>
        <w:t>2019</w:t>
      </w:r>
      <w:r>
        <w:rPr>
          <w:rFonts w:hint="eastAsia" w:ascii="宋体" w:hAnsi="宋体" w:cs="宋体"/>
          <w:sz w:val="32"/>
          <w:szCs w:val="32"/>
        </w:rPr>
        <w:t>年，我部门机关运行经费共计安排</w:t>
      </w:r>
      <w:r>
        <w:rPr>
          <w:rFonts w:ascii="Times New Roman" w:hAnsi="Times New Roman"/>
          <w:sz w:val="32"/>
          <w:szCs w:val="32"/>
        </w:rPr>
        <w:t>66.75</w:t>
      </w:r>
      <w:r>
        <w:rPr>
          <w:rFonts w:hint="eastAsia" w:ascii="宋体" w:hAnsi="宋体" w:cs="宋体"/>
          <w:sz w:val="32"/>
          <w:szCs w:val="32"/>
        </w:rPr>
        <w:t>万元，主要用于我部门的日常维修、购买办公用品、印刷、公务用车等日常运行支出。</w:t>
      </w:r>
    </w:p>
    <w:p>
      <w:pPr>
        <w:autoSpaceDE w:val="0"/>
        <w:autoSpaceDN w:val="0"/>
        <w:adjustRightInd w:val="0"/>
        <w:spacing w:line="584" w:lineRule="exact"/>
        <w:ind w:left="198" w:firstLine="640" w:firstLineChars="200"/>
        <w:jc w:val="left"/>
        <w:rPr>
          <w:rFonts w:ascii="Times New Roman" w:hAnsi="黑体" w:eastAsia="黑体"/>
          <w:sz w:val="32"/>
          <w:szCs w:val="32"/>
        </w:rPr>
      </w:pPr>
      <w:r>
        <w:rPr>
          <w:rFonts w:hint="eastAsia" w:ascii="Times New Roman" w:hAnsi="黑体" w:eastAsia="黑体"/>
          <w:sz w:val="32"/>
          <w:szCs w:val="32"/>
        </w:rPr>
        <w:t>四、财政拨款“三公”经费预算情况及增减变化原因</w:t>
      </w:r>
    </w:p>
    <w:p>
      <w:pPr>
        <w:spacing w:line="584" w:lineRule="exact"/>
        <w:ind w:firstLine="640" w:firstLineChars="200"/>
        <w:rPr>
          <w:rFonts w:ascii="Times New Roman" w:hAnsi="Times New Roman"/>
          <w:sz w:val="32"/>
          <w:szCs w:val="32"/>
        </w:rPr>
      </w:pPr>
      <w:r>
        <w:rPr>
          <w:rFonts w:hint="eastAsia" w:ascii="宋体" w:hAnsi="宋体" w:cs="宋体"/>
          <w:sz w:val="32"/>
          <w:szCs w:val="32"/>
          <w:lang w:val="en-US" w:eastAsia="zh-CN"/>
        </w:rPr>
        <w:t>2019年，</w:t>
      </w:r>
      <w:r>
        <w:rPr>
          <w:rFonts w:hint="eastAsia" w:ascii="宋体" w:hAnsi="宋体" w:cs="宋体"/>
          <w:sz w:val="32"/>
          <w:szCs w:val="32"/>
        </w:rPr>
        <w:t>我</w:t>
      </w:r>
      <w:r>
        <w:rPr>
          <w:rFonts w:hint="eastAsia" w:ascii="宋体" w:hAnsi="宋体" w:cs="宋体"/>
          <w:sz w:val="32"/>
          <w:szCs w:val="32"/>
          <w:lang w:val="en-US" w:eastAsia="zh-CN"/>
        </w:rPr>
        <w:t>部门</w:t>
      </w:r>
      <w:r>
        <w:rPr>
          <w:rFonts w:hint="eastAsia" w:ascii="宋体" w:hAnsi="宋体" w:cs="宋体"/>
          <w:sz w:val="32"/>
          <w:szCs w:val="32"/>
        </w:rPr>
        <w:t>财政拨款</w:t>
      </w:r>
      <w:r>
        <w:rPr>
          <w:rFonts w:ascii="Times New Roman" w:hAnsi="Times New Roman"/>
          <w:sz w:val="32"/>
          <w:szCs w:val="32"/>
        </w:rPr>
        <w:t>“</w:t>
      </w:r>
      <w:r>
        <w:rPr>
          <w:rFonts w:hint="eastAsia" w:ascii="宋体" w:hAnsi="宋体" w:cs="宋体"/>
          <w:sz w:val="32"/>
          <w:szCs w:val="32"/>
        </w:rPr>
        <w:t>三公</w:t>
      </w:r>
      <w:r>
        <w:rPr>
          <w:rFonts w:ascii="Times New Roman" w:hAnsi="Times New Roman"/>
          <w:sz w:val="32"/>
          <w:szCs w:val="32"/>
        </w:rPr>
        <w:t>”</w:t>
      </w:r>
      <w:r>
        <w:rPr>
          <w:rFonts w:hint="eastAsia" w:ascii="宋体" w:hAnsi="宋体" w:cs="宋体"/>
          <w:sz w:val="32"/>
          <w:szCs w:val="32"/>
        </w:rPr>
        <w:t>经费预算安排</w:t>
      </w:r>
      <w:r>
        <w:rPr>
          <w:rFonts w:ascii="Times New Roman" w:hAnsi="Times New Roman"/>
          <w:sz w:val="32"/>
          <w:szCs w:val="32"/>
        </w:rPr>
        <w:t>57.5</w:t>
      </w:r>
      <w:r>
        <w:rPr>
          <w:rFonts w:hint="eastAsia" w:ascii="宋体" w:hAnsi="宋体" w:cs="宋体"/>
          <w:sz w:val="32"/>
          <w:szCs w:val="32"/>
        </w:rPr>
        <w:t>万元。其中，因公出国（境）费</w:t>
      </w:r>
      <w:r>
        <w:rPr>
          <w:rFonts w:ascii="Times New Roman" w:hAnsi="Times New Roman"/>
          <w:sz w:val="32"/>
          <w:szCs w:val="32"/>
        </w:rPr>
        <w:t>0</w:t>
      </w:r>
      <w:r>
        <w:rPr>
          <w:rFonts w:hint="eastAsia" w:ascii="宋体" w:hAnsi="宋体" w:cs="宋体"/>
          <w:sz w:val="32"/>
          <w:szCs w:val="32"/>
        </w:rPr>
        <w:t>万元</w:t>
      </w:r>
      <w:r>
        <w:rPr>
          <w:rFonts w:hint="eastAsia" w:ascii="宋体" w:hAnsi="宋体" w:cs="宋体"/>
          <w:sz w:val="32"/>
          <w:szCs w:val="32"/>
          <w:lang w:eastAsia="zh-CN"/>
        </w:rPr>
        <w:t>，</w:t>
      </w:r>
      <w:r>
        <w:rPr>
          <w:rFonts w:hint="eastAsia" w:ascii="宋体" w:hAnsi="宋体" w:cs="宋体"/>
          <w:sz w:val="32"/>
          <w:szCs w:val="32"/>
          <w:lang w:val="en-US" w:eastAsia="zh-CN"/>
        </w:rPr>
        <w:t>与2018年持平</w:t>
      </w:r>
      <w:r>
        <w:rPr>
          <w:rFonts w:hint="eastAsia" w:ascii="宋体" w:hAnsi="宋体" w:cs="宋体"/>
          <w:sz w:val="32"/>
          <w:szCs w:val="32"/>
        </w:rPr>
        <w:t>；公务用车购置及运维费</w:t>
      </w:r>
      <w:r>
        <w:rPr>
          <w:rFonts w:ascii="Times New Roman" w:hAnsi="Times New Roman"/>
          <w:sz w:val="32"/>
          <w:szCs w:val="32"/>
        </w:rPr>
        <w:t>17.5</w:t>
      </w:r>
      <w:r>
        <w:rPr>
          <w:rFonts w:hint="eastAsia" w:ascii="宋体" w:hAnsi="宋体" w:cs="宋体"/>
          <w:sz w:val="32"/>
          <w:szCs w:val="32"/>
        </w:rPr>
        <w:t>万元（其中：公务用车购置费为</w:t>
      </w:r>
      <w:r>
        <w:rPr>
          <w:rFonts w:ascii="Times New Roman" w:hAnsi="Times New Roman"/>
          <w:sz w:val="32"/>
          <w:szCs w:val="32"/>
        </w:rPr>
        <w:t>0</w:t>
      </w:r>
      <w:r>
        <w:rPr>
          <w:rFonts w:hint="eastAsia" w:ascii="宋体" w:hAnsi="宋体" w:cs="宋体"/>
          <w:sz w:val="32"/>
          <w:szCs w:val="32"/>
        </w:rPr>
        <w:t>万元，公务用车运维费</w:t>
      </w:r>
      <w:r>
        <w:rPr>
          <w:rFonts w:ascii="Times New Roman" w:hAnsi="Times New Roman"/>
          <w:sz w:val="32"/>
          <w:szCs w:val="32"/>
        </w:rPr>
        <w:t>17.5</w:t>
      </w:r>
      <w:r>
        <w:rPr>
          <w:rFonts w:hint="eastAsia" w:ascii="宋体" w:hAnsi="宋体" w:cs="宋体"/>
          <w:sz w:val="32"/>
          <w:szCs w:val="32"/>
        </w:rPr>
        <w:t>万元</w:t>
      </w:r>
      <w:r>
        <w:rPr>
          <w:rFonts w:ascii="Times New Roman" w:hAnsi="Times New Roman"/>
          <w:sz w:val="32"/>
          <w:szCs w:val="32"/>
        </w:rPr>
        <w:t>)</w:t>
      </w:r>
      <w:r>
        <w:rPr>
          <w:rFonts w:hint="eastAsia" w:ascii="Times New Roman" w:hAnsi="Times New Roman"/>
          <w:sz w:val="32"/>
          <w:szCs w:val="32"/>
          <w:lang w:eastAsia="zh-CN"/>
        </w:rPr>
        <w:t>，</w:t>
      </w:r>
      <w:r>
        <w:rPr>
          <w:rFonts w:hint="eastAsia" w:ascii="Times New Roman" w:hAnsi="Times New Roman"/>
          <w:sz w:val="32"/>
          <w:szCs w:val="32"/>
          <w:lang w:val="en-US" w:eastAsia="zh-CN"/>
        </w:rPr>
        <w:t>与2018年相比减少44.5万元，其中公务用车购置费0万元，与2018年持平，公务用车维费减少44.5万元，</w:t>
      </w:r>
      <w:r>
        <w:rPr>
          <w:rFonts w:hint="eastAsia" w:ascii="宋体" w:hAnsi="宋体" w:cs="宋体"/>
          <w:sz w:val="32"/>
          <w:szCs w:val="32"/>
        </w:rPr>
        <w:t>主要原因是</w:t>
      </w:r>
      <w:r>
        <w:rPr>
          <w:rFonts w:hint="eastAsia" w:ascii="宋体" w:hAnsi="宋体" w:cs="宋体"/>
          <w:sz w:val="32"/>
          <w:szCs w:val="32"/>
          <w:lang w:val="en-US" w:eastAsia="zh-CN"/>
        </w:rPr>
        <w:t>我部门切实落实勤俭节约的各项规定，压减</w:t>
      </w:r>
      <w:r>
        <w:rPr>
          <w:rFonts w:hint="eastAsia" w:ascii="宋体" w:hAnsi="宋体" w:cs="仿宋_GB2312"/>
          <w:sz w:val="32"/>
          <w:szCs w:val="32"/>
        </w:rPr>
        <w:t>公务</w:t>
      </w:r>
      <w:r>
        <w:rPr>
          <w:rFonts w:hint="eastAsia" w:ascii="宋体" w:hAnsi="宋体" w:cs="仿宋_GB2312"/>
          <w:sz w:val="32"/>
          <w:szCs w:val="32"/>
          <w:lang w:eastAsia="zh-CN"/>
        </w:rPr>
        <w:t>用车</w:t>
      </w:r>
      <w:r>
        <w:rPr>
          <w:rFonts w:hint="eastAsia" w:ascii="宋体" w:hAnsi="宋体" w:cs="仿宋_GB2312"/>
          <w:sz w:val="32"/>
          <w:szCs w:val="32"/>
          <w:lang w:val="en-US" w:eastAsia="zh-CN"/>
        </w:rPr>
        <w:t>运行经费支出</w:t>
      </w:r>
      <w:r>
        <w:rPr>
          <w:rFonts w:hint="eastAsia" w:ascii="宋体" w:hAnsi="宋体" w:cs="宋体"/>
          <w:sz w:val="32"/>
          <w:szCs w:val="32"/>
        </w:rPr>
        <w:t>；公务接待费</w:t>
      </w:r>
      <w:r>
        <w:rPr>
          <w:rFonts w:ascii="Times New Roman" w:hAnsi="Times New Roman"/>
          <w:sz w:val="32"/>
          <w:szCs w:val="32"/>
        </w:rPr>
        <w:t>40</w:t>
      </w:r>
      <w:r>
        <w:rPr>
          <w:rFonts w:hint="eastAsia" w:ascii="宋体" w:hAnsi="宋体" w:cs="宋体"/>
          <w:sz w:val="32"/>
          <w:szCs w:val="32"/>
        </w:rPr>
        <w:t>万元</w:t>
      </w:r>
      <w:r>
        <w:rPr>
          <w:rFonts w:hint="eastAsia" w:ascii="宋体" w:hAnsi="宋体" w:cs="宋体"/>
          <w:sz w:val="32"/>
          <w:szCs w:val="32"/>
          <w:lang w:eastAsia="zh-CN"/>
        </w:rPr>
        <w:t>，</w:t>
      </w:r>
      <w:r>
        <w:rPr>
          <w:rFonts w:hint="eastAsia" w:ascii="宋体" w:hAnsi="宋体" w:cs="宋体"/>
          <w:sz w:val="32"/>
          <w:szCs w:val="32"/>
        </w:rPr>
        <w:t>与</w:t>
      </w:r>
      <w:r>
        <w:rPr>
          <w:rFonts w:ascii="Times New Roman" w:hAnsi="Times New Roman"/>
          <w:sz w:val="32"/>
          <w:szCs w:val="32"/>
        </w:rPr>
        <w:t>2018</w:t>
      </w:r>
      <w:r>
        <w:rPr>
          <w:rFonts w:hint="eastAsia" w:ascii="宋体" w:hAnsi="宋体" w:cs="宋体"/>
          <w:sz w:val="32"/>
          <w:szCs w:val="32"/>
        </w:rPr>
        <w:t>年相比增加</w:t>
      </w:r>
      <w:r>
        <w:rPr>
          <w:rFonts w:ascii="Times New Roman" w:hAnsi="Times New Roman"/>
          <w:sz w:val="32"/>
          <w:szCs w:val="32"/>
        </w:rPr>
        <w:t>5</w:t>
      </w:r>
      <w:r>
        <w:rPr>
          <w:rFonts w:hint="eastAsia" w:ascii="宋体" w:hAnsi="宋体" w:cs="宋体"/>
          <w:sz w:val="32"/>
          <w:szCs w:val="32"/>
        </w:rPr>
        <w:t>万元，</w:t>
      </w:r>
      <w:r>
        <w:rPr>
          <w:rFonts w:hint="eastAsia" w:ascii="宋体" w:hAnsi="宋体" w:cs="宋体"/>
          <w:sz w:val="32"/>
          <w:szCs w:val="32"/>
          <w:lang w:val="en-US" w:eastAsia="zh-CN"/>
        </w:rPr>
        <w:t>主要原因是接待上级检查指导工作次数增多</w:t>
      </w:r>
      <w:r>
        <w:rPr>
          <w:rFonts w:hint="eastAsia" w:ascii="宋体" w:hAnsi="宋体" w:cs="宋体"/>
          <w:sz w:val="32"/>
          <w:szCs w:val="32"/>
        </w:rPr>
        <w:t>。</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五、绩效预算信息</w:t>
      </w:r>
    </w:p>
    <w:p>
      <w:pPr>
        <w:spacing w:line="584" w:lineRule="exact"/>
        <w:ind w:firstLine="643" w:firstLineChars="200"/>
        <w:jc w:val="left"/>
        <w:rPr>
          <w:rFonts w:ascii="Times New Roman" w:hAnsi="Times New Roman" w:eastAsia="楷体_GB2312"/>
          <w:b/>
          <w:sz w:val="32"/>
          <w:szCs w:val="32"/>
        </w:rPr>
      </w:pPr>
      <w:bookmarkStart w:id="0" w:name="_Toc471398463"/>
      <w:r>
        <w:rPr>
          <w:rFonts w:hint="eastAsia" w:ascii="Times New Roman" w:hAnsi="Times New Roman" w:eastAsia="楷体_GB2312"/>
          <w:b/>
          <w:sz w:val="32"/>
          <w:szCs w:val="32"/>
        </w:rPr>
        <w:t>总体绩效目标：</w:t>
      </w:r>
    </w:p>
    <w:p>
      <w:pPr>
        <w:ind w:firstLine="640" w:firstLineChars="200"/>
        <w:jc w:val="left"/>
        <w:rPr>
          <w:rFonts w:hint="eastAsia" w:ascii="宋体" w:hAnsi="宋体" w:cs="宋体"/>
          <w:sz w:val="32"/>
          <w:szCs w:val="32"/>
        </w:rPr>
      </w:pPr>
    </w:p>
    <w:p>
      <w:pPr>
        <w:ind w:firstLine="640" w:firstLineChars="200"/>
        <w:jc w:val="left"/>
        <w:rPr>
          <w:rFonts w:ascii="宋体" w:cs="宋体"/>
          <w:sz w:val="32"/>
          <w:szCs w:val="32"/>
        </w:rPr>
      </w:pPr>
      <w:r>
        <w:rPr>
          <w:rFonts w:hint="eastAsia" w:ascii="宋体" w:hAnsi="宋体" w:cs="宋体"/>
          <w:sz w:val="32"/>
          <w:szCs w:val="32"/>
        </w:rPr>
        <w:t>总体目标：</w:t>
      </w:r>
    </w:p>
    <w:p>
      <w:pPr>
        <w:ind w:firstLine="640" w:firstLineChars="200"/>
        <w:jc w:val="left"/>
        <w:rPr>
          <w:rFonts w:ascii="宋体" w:cs="仿宋_GB2312"/>
          <w:bCs/>
          <w:sz w:val="32"/>
          <w:szCs w:val="32"/>
        </w:rPr>
      </w:pPr>
      <w:r>
        <w:rPr>
          <w:rFonts w:hint="eastAsia" w:ascii="宋体" w:hAnsi="宋体" w:cs="仿宋_GB2312"/>
          <w:bCs/>
          <w:sz w:val="32"/>
          <w:szCs w:val="32"/>
          <w:lang w:val="en-US" w:eastAsia="zh-CN"/>
        </w:rPr>
        <w:t>搞</w:t>
      </w:r>
      <w:r>
        <w:rPr>
          <w:rFonts w:hint="eastAsia" w:ascii="宋体" w:hAnsi="宋体" w:cs="仿宋_GB2312"/>
          <w:bCs/>
          <w:sz w:val="32"/>
          <w:szCs w:val="32"/>
        </w:rPr>
        <w:t>好县委文件上报下达、文件传阅、编写《大事记》、常委</w:t>
      </w:r>
      <w:r>
        <w:rPr>
          <w:rFonts w:hint="eastAsia" w:ascii="宋体" w:hAnsi="宋体" w:cs="仿宋_GB2312"/>
          <w:bCs/>
          <w:sz w:val="32"/>
          <w:szCs w:val="32"/>
          <w:lang w:val="en-US" w:eastAsia="zh-CN"/>
        </w:rPr>
        <w:t>会</w:t>
      </w:r>
      <w:r>
        <w:rPr>
          <w:rFonts w:hint="eastAsia" w:ascii="宋体" w:hAnsi="宋体" w:cs="仿宋_GB2312"/>
          <w:bCs/>
          <w:sz w:val="32"/>
          <w:szCs w:val="32"/>
        </w:rPr>
        <w:t>会议记录整理；信息的搜集整理及时反馈、编发；搞好调查调研，为领导决策提供依据，达到领导满意。</w:t>
      </w:r>
    </w:p>
    <w:p>
      <w:pPr>
        <w:spacing w:line="584" w:lineRule="exact"/>
        <w:ind w:firstLine="560"/>
        <w:rPr>
          <w:rFonts w:ascii="Times New Roman" w:hAnsi="Times New Roman" w:eastAsia="楷体_GB2312"/>
          <w:b/>
          <w:sz w:val="32"/>
          <w:szCs w:val="32"/>
        </w:rPr>
      </w:pPr>
      <w:r>
        <w:rPr>
          <w:rFonts w:hint="eastAsia" w:ascii="Times New Roman" w:hAnsi="Times New Roman" w:eastAsia="楷体_GB2312"/>
          <w:b/>
          <w:sz w:val="32"/>
          <w:szCs w:val="32"/>
        </w:rPr>
        <w:t>部门职责及工作活动绩效目标指标：</w:t>
      </w:r>
    </w:p>
    <w:p>
      <w:pPr>
        <w:ind w:firstLine="640" w:firstLineChars="200"/>
        <w:jc w:val="left"/>
        <w:rPr>
          <w:rFonts w:ascii="??_GB2312" w:hAnsi="??_GB2312" w:cs="??_GB2312"/>
          <w:sz w:val="32"/>
          <w:szCs w:val="32"/>
        </w:rPr>
      </w:pPr>
      <w:r>
        <w:rPr>
          <w:rFonts w:ascii="??_GB2312" w:hAnsi="??_GB2312" w:cs="??_GB2312"/>
          <w:sz w:val="32"/>
          <w:szCs w:val="32"/>
        </w:rPr>
        <w:t xml:space="preserve"> </w:t>
      </w:r>
      <w:r>
        <w:rPr>
          <w:rFonts w:hint="eastAsia" w:ascii="宋体" w:hAnsi="宋体" w:cs="宋体"/>
          <w:sz w:val="32"/>
          <w:szCs w:val="32"/>
        </w:rPr>
        <w:t>职责分类绩效目标：</w:t>
      </w:r>
    </w:p>
    <w:p>
      <w:pPr>
        <w:ind w:firstLine="640" w:firstLineChars="200"/>
        <w:jc w:val="left"/>
        <w:rPr>
          <w:rFonts w:ascii="??_GB2312" w:hAnsi="??_GB2312" w:cs="??_GB2312"/>
          <w:sz w:val="32"/>
          <w:szCs w:val="32"/>
        </w:rPr>
      </w:pPr>
      <w:r>
        <w:rPr>
          <w:rFonts w:hint="eastAsia" w:ascii="宋体" w:hAnsi="宋体" w:cs="宋体"/>
          <w:sz w:val="32"/>
          <w:szCs w:val="32"/>
        </w:rPr>
        <w:t>分类绩效目标情况说明：</w:t>
      </w:r>
    </w:p>
    <w:p>
      <w:pPr>
        <w:pStyle w:val="16"/>
        <w:ind w:firstLine="524" w:firstLineChars="164"/>
        <w:rPr>
          <w:rFonts w:cs="仿宋_GB2312"/>
          <w:bCs/>
          <w:kern w:val="2"/>
          <w:sz w:val="32"/>
          <w:szCs w:val="32"/>
          <w:lang w:eastAsia="zh-CN"/>
        </w:rPr>
      </w:pPr>
      <w:r>
        <w:rPr>
          <w:rFonts w:hint="eastAsia" w:cs="仿宋_GB2312"/>
          <w:bCs/>
          <w:kern w:val="2"/>
          <w:sz w:val="32"/>
          <w:szCs w:val="32"/>
          <w:lang w:eastAsia="zh-CN"/>
        </w:rPr>
        <w:t>参谋协调运转：保障县委办公室大型会议、重大活动的正常、顺利举办；保障县委公文正常运转。</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公文运转：改进公文办理、规范流程，公文审核严谨高效，增强县委文件的权威性，加强文稿前期介入，打造精品文稿。</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协调县委大型会议和活动：加强重要会议的统筹协调，精心谋划组织好全县性重大会议活，县委主要领导参加的重要会议活动，要从严从细谋划安排。</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会务接待：严格执行中央八项规定，坚持热情周到、简洁简朴。严格执行接待标准、降低接待规模。</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信息收集和督查调研：围绕省市和县委、县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信息收集及民意调查：通过界别渠道密切联系群众，反映社情民意，努力做到协调关系、化解矛盾、理顺情绪，增进社会各阶层不同利益群众的和谐和稳定。</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督查调研：围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全县党委系统公务内网建设：数据资源丰富、数据正版、权威可靠，用户满意度高。线路畅通，系统运行稳定。</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公务内网建设与维护：数据资源丰富、数据正版、权威可靠，用户满意度高。线路畅通，系统运行稳定。</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保密管理工作及保密科技监管：涉密</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防范打击处理邪教：确保实现“七个不发生”目标。</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值班工作规范化建设：严格按照省市要求，提高全县值班工作规范化水平。</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党风廉政建设：实行例会制度，建立工作台账，健全完善全县各级主体办。协调落实全县主体责任考核评价工作。</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全面深化改革工作：促进全县全面深化改革工作要点和重要改革举措施完成，确保上级深化改革政措施的贯彻落实。</w:t>
      </w:r>
    </w:p>
    <w:p>
      <w:pPr>
        <w:pStyle w:val="16"/>
        <w:ind w:firstLine="480"/>
        <w:rPr>
          <w:rFonts w:cs="仿宋_GB2312"/>
          <w:bCs/>
          <w:kern w:val="2"/>
          <w:sz w:val="32"/>
          <w:szCs w:val="32"/>
          <w:lang w:eastAsia="zh-CN"/>
        </w:rPr>
      </w:pPr>
      <w:r>
        <w:rPr>
          <w:rFonts w:hint="eastAsia" w:cs="仿宋_GB2312"/>
          <w:bCs/>
          <w:kern w:val="2"/>
          <w:sz w:val="32"/>
          <w:szCs w:val="32"/>
          <w:lang w:eastAsia="zh-CN"/>
        </w:rPr>
        <w:t>综合事务管理：保障机关工作任务高质高效。</w:t>
      </w:r>
    </w:p>
    <w:p>
      <w:pPr>
        <w:ind w:firstLine="640" w:firstLineChars="200"/>
        <w:jc w:val="left"/>
        <w:rPr>
          <w:rFonts w:ascii="??_GB2312" w:hAnsi="??_GB2312" w:cs="??_GB2312"/>
          <w:sz w:val="32"/>
          <w:szCs w:val="32"/>
        </w:rPr>
      </w:pPr>
      <w:r>
        <w:rPr>
          <w:rFonts w:hint="eastAsia" w:ascii="宋体" w:hAnsi="宋体" w:cs="宋体"/>
          <w:sz w:val="32"/>
          <w:szCs w:val="32"/>
        </w:rPr>
        <w:t>二、实现年度发展规划目标的保障措施</w:t>
      </w:r>
    </w:p>
    <w:p>
      <w:pPr>
        <w:ind w:firstLine="640" w:firstLineChars="200"/>
        <w:jc w:val="left"/>
        <w:rPr>
          <w:rFonts w:ascii="??_GB2312" w:hAnsi="??_GB2312" w:cs="??_GB2312"/>
          <w:sz w:val="32"/>
          <w:szCs w:val="32"/>
        </w:rPr>
      </w:pPr>
      <w:r>
        <w:rPr>
          <w:rFonts w:hint="eastAsia" w:ascii="宋体" w:hAnsi="宋体" w:cs="宋体"/>
          <w:sz w:val="32"/>
          <w:szCs w:val="32"/>
        </w:rPr>
        <w:t>保障措施：</w:t>
      </w:r>
    </w:p>
    <w:p>
      <w:pPr>
        <w:ind w:firstLine="640" w:firstLineChars="200"/>
        <w:jc w:val="left"/>
        <w:rPr>
          <w:rFonts w:ascii="??_GB2312" w:hAnsi="??_GB2312" w:cs="??_GB2312"/>
          <w:sz w:val="32"/>
          <w:szCs w:val="32"/>
        </w:rPr>
      </w:pPr>
      <w:r>
        <w:rPr>
          <w:rFonts w:ascii="??_GB2312" w:hAnsi="??_GB2312" w:cs="??_GB2312"/>
          <w:sz w:val="32"/>
          <w:szCs w:val="32"/>
        </w:rPr>
        <w:t>1</w:t>
      </w:r>
      <w:r>
        <w:rPr>
          <w:rFonts w:hint="eastAsia" w:ascii="宋体" w:hAnsi="宋体" w:cs="宋体"/>
          <w:sz w:val="32"/>
          <w:szCs w:val="32"/>
        </w:rPr>
        <w:t>、成立机关落实年度目标规划工作领导小组，具体负责各项工作的落实。</w:t>
      </w:r>
    </w:p>
    <w:p>
      <w:pPr>
        <w:ind w:firstLine="640" w:firstLineChars="200"/>
        <w:jc w:val="left"/>
        <w:rPr>
          <w:rFonts w:ascii="??_GB2312" w:hAnsi="??_GB2312" w:cs="??_GB2312"/>
          <w:sz w:val="32"/>
          <w:szCs w:val="32"/>
        </w:rPr>
      </w:pPr>
      <w:r>
        <w:rPr>
          <w:rFonts w:ascii="??_GB2312" w:hAnsi="??_GB2312" w:cs="??_GB2312"/>
          <w:sz w:val="32"/>
          <w:szCs w:val="32"/>
        </w:rPr>
        <w:t>2</w:t>
      </w:r>
      <w:r>
        <w:rPr>
          <w:rFonts w:hint="eastAsia" w:ascii="宋体" w:hAnsi="宋体" w:cs="宋体"/>
          <w:sz w:val="32"/>
          <w:szCs w:val="32"/>
        </w:rPr>
        <w:t>、建议预算收支工作制度，严格按规定目标规划执行。</w:t>
      </w:r>
    </w:p>
    <w:p>
      <w:pPr>
        <w:ind w:firstLine="640" w:firstLineChars="200"/>
        <w:jc w:val="left"/>
        <w:rPr>
          <w:rFonts w:ascii="??_GB2312" w:hAnsi="??_GB2312" w:cs="??_GB2312"/>
          <w:sz w:val="32"/>
          <w:szCs w:val="32"/>
        </w:rPr>
      </w:pPr>
      <w:r>
        <w:rPr>
          <w:rFonts w:ascii="??_GB2312" w:hAnsi="??_GB2312" w:cs="??_GB2312"/>
          <w:sz w:val="32"/>
          <w:szCs w:val="32"/>
        </w:rPr>
        <w:t>3</w:t>
      </w:r>
      <w:r>
        <w:rPr>
          <w:rFonts w:hint="eastAsia" w:ascii="宋体" w:hAnsi="宋体" w:cs="宋体"/>
          <w:sz w:val="32"/>
          <w:szCs w:val="32"/>
        </w:rPr>
        <w:t>、加强工作监督，纪检部门对机关目标规划落实情况加强监督，严防工作随意性，确保目标规划落实到位。</w:t>
      </w:r>
    </w:p>
    <w:bookmarkEnd w:id="0"/>
    <w:p>
      <w:pPr>
        <w:spacing w:line="584" w:lineRule="exact"/>
        <w:jc w:val="center"/>
        <w:outlineLvl w:val="0"/>
        <w:rPr>
          <w:rFonts w:hint="eastAsia" w:ascii="宋体" w:hAnsi="宋体" w:cs="宋体"/>
          <w:b/>
          <w:sz w:val="32"/>
        </w:rPr>
      </w:pPr>
      <w:bookmarkStart w:id="1" w:name="_Toc504489147"/>
    </w:p>
    <w:p>
      <w:pPr>
        <w:spacing w:line="584" w:lineRule="exact"/>
        <w:jc w:val="center"/>
        <w:outlineLvl w:val="0"/>
        <w:rPr>
          <w:rFonts w:hint="eastAsia" w:ascii="宋体" w:hAnsi="宋体" w:cs="宋体"/>
          <w:b/>
          <w:sz w:val="32"/>
        </w:rPr>
      </w:pPr>
    </w:p>
    <w:p>
      <w:pPr>
        <w:spacing w:line="584" w:lineRule="exact"/>
        <w:jc w:val="center"/>
        <w:outlineLvl w:val="0"/>
        <w:rPr>
          <w:rFonts w:hint="eastAsia" w:ascii="宋体" w:hAnsi="宋体" w:cs="宋体"/>
          <w:b/>
          <w:sz w:val="32"/>
        </w:rPr>
      </w:pPr>
    </w:p>
    <w:p>
      <w:pPr>
        <w:spacing w:line="584" w:lineRule="exact"/>
        <w:jc w:val="center"/>
        <w:outlineLvl w:val="0"/>
        <w:rPr>
          <w:rFonts w:hint="eastAsia" w:ascii="宋体" w:hAnsi="宋体" w:cs="宋体"/>
          <w:b/>
          <w:sz w:val="32"/>
        </w:rPr>
      </w:pPr>
    </w:p>
    <w:p>
      <w:pPr>
        <w:spacing w:line="584" w:lineRule="exact"/>
        <w:jc w:val="center"/>
        <w:outlineLvl w:val="0"/>
        <w:rPr>
          <w:rFonts w:ascii="宋体" w:cs="宋体"/>
          <w:b/>
          <w:sz w:val="32"/>
        </w:rPr>
      </w:pPr>
      <w:r>
        <w:rPr>
          <w:rFonts w:hint="eastAsia" w:ascii="宋体" w:hAnsi="宋体" w:cs="宋体"/>
          <w:b/>
          <w:sz w:val="32"/>
        </w:rPr>
        <w:t>部门职责</w:t>
      </w:r>
      <w:r>
        <w:rPr>
          <w:rFonts w:ascii="Times New Roman" w:hAnsi="Times New Roman"/>
          <w:b/>
          <w:sz w:val="32"/>
        </w:rPr>
        <w:t>-</w:t>
      </w:r>
      <w:r>
        <w:rPr>
          <w:rFonts w:hint="eastAsia" w:ascii="宋体" w:hAnsi="宋体" w:cs="宋体"/>
          <w:b/>
          <w:sz w:val="32"/>
        </w:rPr>
        <w:t>工作活动绩效目标</w:t>
      </w:r>
      <w:bookmarkEnd w:id="1"/>
    </w:p>
    <w:p>
      <w:pPr>
        <w:spacing w:line="584" w:lineRule="exact"/>
        <w:jc w:val="center"/>
        <w:outlineLvl w:val="0"/>
        <w:rPr>
          <w:rFonts w:ascii="Times New Roman" w:hAnsi="Times New Roman"/>
          <w:b/>
          <w:sz w:val="32"/>
        </w:rPr>
      </w:pP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sz w:val="18"/>
                <w:szCs w:val="18"/>
              </w:rPr>
            </w:pPr>
            <w:r>
              <w:rPr>
                <w:rFonts w:ascii="方正小标宋_GBK" w:hAnsi="Times New Roman" w:eastAsia="方正小标宋_GBK"/>
                <w:sz w:val="18"/>
                <w:szCs w:val="18"/>
              </w:rPr>
              <w:t>201</w:t>
            </w:r>
            <w:r>
              <w:rPr>
                <w:rFonts w:hint="eastAsia" w:ascii="方正小标宋_GBK" w:hAnsi="Times New Roman" w:eastAsia="方正小标宋_GBK"/>
                <w:sz w:val="18"/>
                <w:szCs w:val="18"/>
              </w:rPr>
              <w:t>中共大城县委办公室</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sz w:val="18"/>
                <w:szCs w:val="18"/>
              </w:rPr>
            </w:pPr>
            <w:r>
              <w:rPr>
                <w:rFonts w:hint="eastAsia" w:ascii="方正书宋_GBK" w:hAnsi="Times New Roman" w:eastAsia="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一、参谋协调运转</w:t>
            </w:r>
          </w:p>
        </w:tc>
        <w:tc>
          <w:tcPr>
            <w:tcW w:w="1276" w:type="dxa"/>
            <w:vAlign w:val="center"/>
          </w:tcPr>
          <w:p>
            <w:pPr>
              <w:spacing w:line="300" w:lineRule="exact"/>
              <w:jc w:val="left"/>
              <w:rPr>
                <w:rFonts w:ascii="方正书宋_GBK" w:eastAsia="方正书宋_GBK"/>
              </w:rPr>
            </w:pPr>
            <w:r>
              <w:rPr>
                <w:rFonts w:ascii="方正书宋_GBK" w:eastAsia="方正书宋_GBK"/>
              </w:rPr>
              <w:t>550.60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县委公文运转、大型会议和活动组织安排、公务接待等。</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保障县委办公室大型会议、重大活动的正常、顺利举办；保障县委公文正常运转。</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、公文运转</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6.00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承担县委、县委领导同志交办的文件、讲话稿的起草或修改工作；县委文件和县委办公室代县委行文的核审工作；党刊党史编辑工作。</w:t>
            </w:r>
          </w:p>
        </w:tc>
        <w:tc>
          <w:tcPr>
            <w:tcW w:w="2976" w:type="dxa"/>
            <w:vMerge w:val="restart"/>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党刊党史编辑工作完成率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发文核审差错率</w:t>
            </w:r>
          </w:p>
        </w:tc>
        <w:tc>
          <w:tcPr>
            <w:tcW w:w="737" w:type="dxa"/>
            <w:vAlign w:val="center"/>
          </w:tcPr>
          <w:p>
            <w:pPr>
              <w:spacing w:line="300" w:lineRule="exact"/>
              <w:jc w:val="center"/>
              <w:rPr>
                <w:rFonts w:ascii="方正书宋_GBK" w:eastAsia="方正书宋_GBK"/>
              </w:rPr>
            </w:pPr>
            <w:r>
              <w:rPr>
                <w:rFonts w:ascii="方正书宋_GBK" w:eastAsia="方正书宋_GBK"/>
              </w:rPr>
              <w:t>&lt;0.5%</w:t>
            </w:r>
          </w:p>
        </w:tc>
        <w:tc>
          <w:tcPr>
            <w:tcW w:w="737" w:type="dxa"/>
            <w:vAlign w:val="center"/>
          </w:tcPr>
          <w:p>
            <w:pPr>
              <w:spacing w:line="300" w:lineRule="exact"/>
              <w:jc w:val="center"/>
              <w:rPr>
                <w:rFonts w:ascii="方正书宋_GBK" w:eastAsia="方正书宋_GBK"/>
              </w:rPr>
            </w:pPr>
            <w:r>
              <w:rPr>
                <w:rFonts w:ascii="方正书宋_GBK" w:eastAsia="方正书宋_GBK"/>
              </w:rPr>
              <w:t>&lt;1%</w:t>
            </w:r>
          </w:p>
        </w:tc>
        <w:tc>
          <w:tcPr>
            <w:tcW w:w="737" w:type="dxa"/>
            <w:vAlign w:val="center"/>
          </w:tcPr>
          <w:p>
            <w:pPr>
              <w:spacing w:line="300" w:lineRule="exact"/>
              <w:jc w:val="center"/>
              <w:rPr>
                <w:rFonts w:ascii="方正书宋_GBK" w:eastAsia="方正书宋_GBK"/>
              </w:rPr>
            </w:pPr>
            <w:r>
              <w:rPr>
                <w:rFonts w:ascii="方正书宋_GBK" w:eastAsia="方正书宋_GBK"/>
              </w:rPr>
              <w:t>&lt;2%</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公文流转速度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文稿起草工作完成量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、协调县委大型会议和活动</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504.60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县委各种会议的会务工作和县委日常工作活动的组织安排。</w:t>
            </w:r>
          </w:p>
        </w:tc>
        <w:tc>
          <w:tcPr>
            <w:tcW w:w="2976" w:type="dxa"/>
            <w:vMerge w:val="restart"/>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大型会议控制率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0.3%</w:t>
            </w:r>
          </w:p>
        </w:tc>
        <w:tc>
          <w:tcPr>
            <w:tcW w:w="737" w:type="dxa"/>
            <w:vAlign w:val="center"/>
          </w:tcPr>
          <w:p>
            <w:pPr>
              <w:spacing w:line="300" w:lineRule="exact"/>
              <w:jc w:val="center"/>
              <w:rPr>
                <w:rFonts w:ascii="方正书宋_GBK" w:eastAsia="方正书宋_GBK"/>
              </w:rPr>
            </w:pPr>
            <w:r>
              <w:rPr>
                <w:rFonts w:ascii="方正书宋_GBK" w:eastAsia="方正书宋_GBK"/>
              </w:rPr>
              <w:t>&lt;0.3%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重大工作参与率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、会务接待</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40.00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负责省市领导和兄弟县市（区）党委领导同志，以及办公室系统的接待服务工作；负责县委领导同志交办的其他接待任务。</w:t>
            </w:r>
          </w:p>
        </w:tc>
        <w:tc>
          <w:tcPr>
            <w:tcW w:w="2976" w:type="dxa"/>
            <w:vMerge w:val="restart"/>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接待费控制率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会务接待工作完成率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二、信息收集和督查调研</w:t>
            </w:r>
          </w:p>
        </w:tc>
        <w:tc>
          <w:tcPr>
            <w:tcW w:w="1276" w:type="dxa"/>
            <w:vAlign w:val="center"/>
          </w:tcPr>
          <w:p>
            <w:pPr>
              <w:spacing w:line="300" w:lineRule="exact"/>
              <w:jc w:val="left"/>
              <w:rPr>
                <w:rFonts w:ascii="方正书宋_GBK" w:eastAsia="方正书宋_GBK"/>
              </w:rPr>
            </w:pPr>
            <w:r>
              <w:rPr>
                <w:rFonts w:ascii="方正书宋_GBK" w:eastAsia="方正书宋_GBK"/>
              </w:rPr>
              <w:t>63.00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围绕省市、县委总体工作部署开展综合调研，收集和处理信息、反映动态；承担省市、县委重要工作部署贯彻落实的督导检查，省市和县委领导同志批示件的传达和催办落实。</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围绕省市和县委、县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、信息收集及民意调查</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16.50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党委系统信息工作的组织、协调和指导。围绕省市、县委的重大决策部署收集、整理和反馈信息；信息发布和联络工作；社情民意调查；全县党委系统信息网络的协调和指导工作。</w:t>
            </w:r>
          </w:p>
        </w:tc>
        <w:tc>
          <w:tcPr>
            <w:tcW w:w="2976" w:type="dxa"/>
            <w:vMerge w:val="restart"/>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全县党委系统信息网络协调和指导工作完成率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社情民意反映率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宣传报道完成率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、督查调研</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46.50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省市、县委重大决策部署贯彻落实的督促检查；省市和县委领导同志有关批示件的催办落实；承担县委领导同志批示件及办理情况的综汇工作；围绕省市、县委重大决策的贯彻落实进行调查研究；全县党委系统督查网络的协调和指导工作。</w:t>
            </w:r>
          </w:p>
        </w:tc>
        <w:tc>
          <w:tcPr>
            <w:tcW w:w="2976" w:type="dxa"/>
            <w:vMerge w:val="restart"/>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督查督办按时办结率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重大决策部署落实的调研工作完成率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三、全县党委系统公务内网建设</w:t>
            </w:r>
          </w:p>
        </w:tc>
        <w:tc>
          <w:tcPr>
            <w:tcW w:w="1276" w:type="dxa"/>
            <w:vAlign w:val="center"/>
          </w:tcPr>
          <w:p>
            <w:pPr>
              <w:spacing w:line="300" w:lineRule="exact"/>
              <w:jc w:val="left"/>
              <w:rPr>
                <w:rFonts w:ascii="方正书宋_GBK" w:eastAsia="方正书宋_GBK"/>
              </w:rPr>
            </w:pPr>
            <w:r>
              <w:rPr>
                <w:rFonts w:ascii="方正书宋_GBK" w:eastAsia="方正书宋_GBK"/>
              </w:rPr>
              <w:t>3.00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全县党委系统公务内网建设与维护。</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数据资源丰富、数据正版、权威可靠，用户满意度高。线路畅通，系统运行稳定。</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、公务内网建设与维护</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全县公务内网的建设和管理；计算机信息网络建设的技术开发、指导和培训；组织协调各类信息资源的上网和扩充，保障网络和信息安全。</w:t>
            </w:r>
          </w:p>
        </w:tc>
        <w:tc>
          <w:tcPr>
            <w:tcW w:w="2976" w:type="dxa"/>
            <w:vMerge w:val="restart"/>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网络正常运转保障时间</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网络信息安全保障情况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全县公务内网的建设管理工作完成率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内容条目更新速度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四、保密管理</w:t>
            </w:r>
          </w:p>
        </w:tc>
        <w:tc>
          <w:tcPr>
            <w:tcW w:w="1276" w:type="dxa"/>
            <w:vAlign w:val="center"/>
          </w:tcPr>
          <w:p>
            <w:pPr>
              <w:spacing w:line="300" w:lineRule="exact"/>
              <w:jc w:val="left"/>
              <w:rPr>
                <w:rFonts w:ascii="方正书宋_GBK" w:eastAsia="方正书宋_GBK"/>
              </w:rPr>
            </w:pPr>
            <w:r>
              <w:rPr>
                <w:rFonts w:ascii="方正书宋_GBK" w:eastAsia="方正书宋_GBK"/>
              </w:rPr>
              <w:t>4.00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承担县委保密委员会的日常工作。全县保密管理工作；全县保密宣传教育、督促检查、协调工作；对重大失泄密事件的组织查处，保密干部培训，保密技术防范。</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涉密</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、保密工作及保密科技监管</w:t>
            </w:r>
          </w:p>
        </w:tc>
        <w:tc>
          <w:tcPr>
            <w:tcW w:w="1276" w:type="dxa"/>
            <w:vAlign w:val="center"/>
          </w:tcPr>
          <w:p>
            <w:pPr>
              <w:spacing w:line="300" w:lineRule="exact"/>
              <w:jc w:val="left"/>
              <w:rPr>
                <w:rFonts w:ascii="方正书宋_GBK" w:eastAsia="方正书宋_GBK"/>
              </w:rPr>
            </w:pPr>
            <w:r>
              <w:rPr>
                <w:rFonts w:ascii="方正书宋_GBK" w:eastAsia="方正书宋_GBK"/>
              </w:rPr>
              <w:t>4.00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承担县委保密委员会的日常工作。全县保密管理工作，制定并组织实施保密工</w:t>
            </w:r>
            <w:bookmarkStart w:id="4" w:name="_GoBack"/>
            <w:bookmarkEnd w:id="4"/>
            <w:r>
              <w:rPr>
                <w:rFonts w:hint="eastAsia" w:ascii="方正书宋_GBK" w:eastAsia="方正书宋_GBK"/>
              </w:rPr>
              <w:t>作的地方性法规、督促检查、协调工作；对重大失泄密事件的组织查处，保密干部培训，保密技术防范；组织研制、开发、推广保密技术应用工作。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涉密</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涉密</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五、防范打击处理邪教</w:t>
            </w:r>
          </w:p>
        </w:tc>
        <w:tc>
          <w:tcPr>
            <w:tcW w:w="1276" w:type="dxa"/>
            <w:vAlign w:val="center"/>
          </w:tcPr>
          <w:p>
            <w:pPr>
              <w:spacing w:line="300" w:lineRule="exact"/>
              <w:jc w:val="left"/>
              <w:rPr>
                <w:rFonts w:ascii="方正书宋_GBK" w:eastAsia="方正书宋_GBK"/>
              </w:rPr>
            </w:pPr>
            <w:r>
              <w:rPr>
                <w:rFonts w:ascii="方正书宋_GBK" w:eastAsia="方正书宋_GBK"/>
              </w:rPr>
              <w:t>3.00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防范打击处理法轮功、门徒会、全能神等各类邪教组织捣乱破坏活动。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确保实现七个不发生目标。</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、防范打击处理邪教</w:t>
            </w:r>
          </w:p>
        </w:tc>
        <w:tc>
          <w:tcPr>
            <w:tcW w:w="1276" w:type="dxa"/>
            <w:vAlign w:val="center"/>
          </w:tcPr>
          <w:p>
            <w:pPr>
              <w:spacing w:line="300" w:lineRule="exact"/>
              <w:jc w:val="left"/>
              <w:rPr>
                <w:rFonts w:ascii="方正书宋_GBK" w:eastAsia="方正书宋_GBK"/>
              </w:rPr>
            </w:pPr>
            <w:r>
              <w:rPr>
                <w:rFonts w:ascii="方正书宋_GBK" w:eastAsia="方正书宋_GBK"/>
              </w:rPr>
              <w:t>3.00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防范法轮功和其它邪教组织捣乱、破坏活动，打击法轮功和其它邪教组织重点人员，教育转化法轮功和其它邪教组织的痴迷人员使其回归正常社会生活，广泛开展反邪教宣传教育活动，挤压邪教组织的生存空间。</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确保实现七个不发生目标。</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邪教活动发生率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六、值班工作规范化建设</w:t>
            </w:r>
          </w:p>
        </w:tc>
        <w:tc>
          <w:tcPr>
            <w:tcW w:w="1276" w:type="dxa"/>
            <w:vAlign w:val="center"/>
          </w:tcPr>
          <w:p>
            <w:pPr>
              <w:spacing w:line="300" w:lineRule="exact"/>
              <w:jc w:val="left"/>
              <w:rPr>
                <w:rFonts w:ascii="方正书宋_GBK" w:eastAsia="方正书宋_GBK"/>
              </w:rPr>
            </w:pPr>
            <w:r>
              <w:rPr>
                <w:rFonts w:ascii="方正书宋_GBK" w:eastAsia="方正书宋_GBK"/>
              </w:rPr>
              <w:t>18.50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督导、检查、推动全县值班工作，组织开展值班业务培训，做好县委和各乡镇（区、处）、县直各单位值班工作规范化建设。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严格按照省市要求，提高全县值班工作规范化水平。</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、值班工作规范化建设</w:t>
            </w:r>
          </w:p>
        </w:tc>
        <w:tc>
          <w:tcPr>
            <w:tcW w:w="1276" w:type="dxa"/>
            <w:vAlign w:val="center"/>
          </w:tcPr>
          <w:p>
            <w:pPr>
              <w:spacing w:line="300" w:lineRule="exact"/>
              <w:jc w:val="left"/>
              <w:rPr>
                <w:rFonts w:ascii="方正书宋_GBK" w:eastAsia="方正书宋_GBK"/>
              </w:rPr>
            </w:pPr>
            <w:r>
              <w:rPr>
                <w:rFonts w:ascii="方正书宋_GBK" w:eastAsia="方正书宋_GBK"/>
              </w:rPr>
              <w:t>18.50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督导、检查、推动全县值班工作，组织开展值班业务培训，做好县委和各乡镇（区、处）、县直各单位值班工作规范化建设。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严格按照省市要求，提高全县值班工作规范化水平。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乡镇（区）值班工作规范化达标率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七、党风廉政建设</w:t>
            </w:r>
          </w:p>
        </w:tc>
        <w:tc>
          <w:tcPr>
            <w:tcW w:w="1276" w:type="dxa"/>
            <w:vAlign w:val="center"/>
          </w:tcPr>
          <w:p>
            <w:pPr>
              <w:spacing w:line="300" w:lineRule="exact"/>
              <w:jc w:val="left"/>
              <w:rPr>
                <w:rFonts w:ascii="方正书宋_GBK" w:eastAsia="方正书宋_GBK"/>
              </w:rPr>
            </w:pPr>
            <w:r>
              <w:rPr>
                <w:rFonts w:ascii="方正书宋_GBK" w:eastAsia="方正书宋_GBK"/>
              </w:rPr>
              <w:t>18.00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负责全县落实党风廉政建设主体责任相关文稿起草、制定规章制度、组织实施、督导落实、阶段性总结、考核评价等各项工作。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确保全县党风廉政建设主体责任各项工作落实到位。</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、党风廉政建设</w:t>
            </w:r>
          </w:p>
        </w:tc>
        <w:tc>
          <w:tcPr>
            <w:tcW w:w="1276" w:type="dxa"/>
            <w:vAlign w:val="center"/>
          </w:tcPr>
          <w:p>
            <w:pPr>
              <w:spacing w:line="300" w:lineRule="exact"/>
              <w:jc w:val="left"/>
              <w:rPr>
                <w:rFonts w:ascii="方正书宋_GBK" w:eastAsia="方正书宋_GBK"/>
              </w:rPr>
            </w:pPr>
            <w:r>
              <w:rPr>
                <w:rFonts w:ascii="方正书宋_GBK" w:eastAsia="方正书宋_GBK"/>
              </w:rPr>
              <w:t>18.00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督促检查、跟踪问效各级各部门主体责任落实情况，及时掌握全县主体责任工作进度，确保全县党员干部严格按照中央八项规定、市委八条禁令开展工作、学习、生活。</w:t>
            </w:r>
          </w:p>
        </w:tc>
        <w:tc>
          <w:tcPr>
            <w:tcW w:w="29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、实行例会制度。</w:t>
            </w:r>
            <w:r>
              <w:rPr>
                <w:rFonts w:ascii="方正书宋_GBK" w:eastAsia="方正书宋_GBK"/>
              </w:rPr>
              <w:t>2</w:t>
            </w:r>
            <w:r>
              <w:rPr>
                <w:rFonts w:hint="eastAsia" w:ascii="方正书宋_GBK" w:eastAsia="方正书宋_GBK"/>
              </w:rPr>
              <w:t>、建立工作台账。</w:t>
            </w:r>
            <w:r>
              <w:rPr>
                <w:rFonts w:ascii="方正书宋_GBK" w:eastAsia="方正书宋_GBK"/>
              </w:rPr>
              <w:t>3</w:t>
            </w:r>
            <w:r>
              <w:rPr>
                <w:rFonts w:hint="eastAsia" w:ascii="方正书宋_GBK" w:eastAsia="方正书宋_GBK"/>
              </w:rPr>
              <w:t>、健全完善全县各级主体办。</w:t>
            </w:r>
            <w:r>
              <w:rPr>
                <w:rFonts w:ascii="方正书宋_GBK" w:eastAsia="方正书宋_GBK"/>
              </w:rPr>
              <w:t>4</w:t>
            </w:r>
            <w:r>
              <w:rPr>
                <w:rFonts w:hint="eastAsia" w:ascii="方正书宋_GBK" w:eastAsia="方正书宋_GBK"/>
              </w:rPr>
              <w:t>、协调落实全县主体责任考核评价工作。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八、全面深化改革工作</w:t>
            </w:r>
          </w:p>
        </w:tc>
        <w:tc>
          <w:tcPr>
            <w:tcW w:w="1276" w:type="dxa"/>
            <w:vAlign w:val="center"/>
          </w:tcPr>
          <w:p>
            <w:pPr>
              <w:spacing w:line="300" w:lineRule="exact"/>
              <w:jc w:val="left"/>
              <w:rPr>
                <w:rFonts w:ascii="方正书宋_GBK" w:eastAsia="方正书宋_GBK"/>
              </w:rPr>
            </w:pPr>
            <w:r>
              <w:rPr>
                <w:rFonts w:ascii="方正书宋_GBK" w:eastAsia="方正书宋_GBK"/>
              </w:rPr>
              <w:t>10.00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组织开展大城县全面深化改革重大问题的政策研究，统筹协调有关方面提出改革方案和措施、方法、步骤，负责向市委改革办汇报有关工作。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促进全县全面深化改革工作要点和重要改革举措完成，确保中央、省、市委深化改革政措施的贯彻落实。</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、全面深化改革工作</w:t>
            </w:r>
          </w:p>
        </w:tc>
        <w:tc>
          <w:tcPr>
            <w:tcW w:w="1276" w:type="dxa"/>
            <w:vAlign w:val="center"/>
          </w:tcPr>
          <w:p>
            <w:pPr>
              <w:spacing w:line="300" w:lineRule="exact"/>
              <w:jc w:val="left"/>
              <w:rPr>
                <w:rFonts w:ascii="方正书宋_GBK" w:eastAsia="方正书宋_GBK"/>
              </w:rPr>
            </w:pPr>
            <w:r>
              <w:rPr>
                <w:rFonts w:ascii="方正书宋_GBK" w:eastAsia="方正书宋_GBK"/>
              </w:rPr>
              <w:t>10.00</w:t>
            </w:r>
          </w:p>
        </w:tc>
        <w:tc>
          <w:tcPr>
            <w:tcW w:w="29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、统筹协调：及时准确把握中央、省委、市委改革部署，协调提出中长期改革规划建议并组织实施。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、调查研究：根据县委改革部署、县委改革工作要点和县委改革领导小组要求，及时组织工作调研、专题调研、典型调研等。</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、督促检查：采取定期督查与不定期督查、综合督查与专题督查、书面督查与实地督查、面上督查与点上督查等方式，加大督促检查力度，确保改革措施落到实处。</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、学习培训：开展全面深化改革培训工作，制定培训计划和方案并实施。</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、宣传推广：会同县委宣传部和有关新闻媒体制定宣传方案，组织开展全面深化改革的宣传。</w:t>
            </w:r>
          </w:p>
        </w:tc>
        <w:tc>
          <w:tcPr>
            <w:tcW w:w="29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、提出年度工作要点，提交年度改革进展、评估和总结报告。</w:t>
            </w:r>
            <w:r>
              <w:rPr>
                <w:rFonts w:ascii="方正书宋_GBK" w:eastAsia="方正书宋_GBK"/>
              </w:rPr>
              <w:t>2</w:t>
            </w:r>
            <w:r>
              <w:rPr>
                <w:rFonts w:hint="eastAsia" w:ascii="方正书宋_GBK" w:eastAsia="方正书宋_GBK"/>
              </w:rPr>
              <w:t>、做好调研成果转化工作。</w:t>
            </w:r>
            <w:r>
              <w:rPr>
                <w:rFonts w:ascii="方正书宋_GBK" w:eastAsia="方正书宋_GBK"/>
              </w:rPr>
              <w:t>3</w:t>
            </w:r>
            <w:r>
              <w:rPr>
                <w:rFonts w:hint="eastAsia" w:ascii="方正书宋_GBK" w:eastAsia="方正书宋_GBK"/>
              </w:rPr>
              <w:t>、制定督促检查方案，明确督查任务、督查重点、督查方式等。</w:t>
            </w:r>
            <w:r>
              <w:rPr>
                <w:rFonts w:ascii="方正书宋_GBK" w:eastAsia="方正书宋_GBK"/>
              </w:rPr>
              <w:t>4</w:t>
            </w:r>
            <w:r>
              <w:rPr>
                <w:rFonts w:hint="eastAsia" w:ascii="方正书宋_GBK" w:eastAsia="方正书宋_GBK"/>
              </w:rPr>
              <w:t>、广泛宣传全面深化改革的目的意义、工作部署、成效经验等。</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九、县委事务管理</w:t>
            </w:r>
          </w:p>
        </w:tc>
        <w:tc>
          <w:tcPr>
            <w:tcW w:w="1276" w:type="dxa"/>
            <w:vAlign w:val="center"/>
          </w:tcPr>
          <w:p>
            <w:pPr>
              <w:spacing w:line="300" w:lineRule="exact"/>
              <w:jc w:val="left"/>
              <w:rPr>
                <w:rFonts w:ascii="方正书宋_GBK" w:eastAsia="方正书宋_GBK"/>
              </w:rPr>
            </w:pPr>
            <w:r>
              <w:rPr>
                <w:rFonts w:ascii="方正书宋_GBK" w:eastAsia="方正书宋_GBK"/>
              </w:rPr>
              <w:t>19.50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县委系统行政后勤管理；财务、固定资产管理，以及离退休同志的生活服务和阅文、参加有关活动的事务服务工作。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高质量完成各项事务管理工作任务</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19.50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后勤保障、财务管理、办公用房、办公车辆、办公用品和其他固定资产的管理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保障机关工作任务高质高效</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bl>
    <w:p>
      <w:pPr>
        <w:spacing w:line="584" w:lineRule="exact"/>
        <w:jc w:val="left"/>
        <w:outlineLvl w:val="0"/>
        <w:rPr>
          <w:rFonts w:ascii="Times New Roman" w:hAnsi="Times New Roman"/>
        </w:rPr>
        <w:sectPr>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Times New Roman" w:hAnsi="Times New Roman"/>
          <w:sz w:val="32"/>
          <w:szCs w:val="24"/>
        </w:rPr>
      </w:pPr>
      <w:bookmarkStart w:id="2" w:name="_Toc471398468"/>
      <w:r>
        <w:rPr>
          <w:rFonts w:ascii="Times New Roman" w:hAnsi="Times New Roman"/>
          <w:sz w:val="32"/>
          <w:szCs w:val="24"/>
        </w:rPr>
        <w:t>2019</w:t>
      </w:r>
      <w:r>
        <w:rPr>
          <w:rFonts w:hint="eastAsia" w:ascii="宋体" w:hAnsi="宋体" w:cs="宋体"/>
          <w:sz w:val="32"/>
          <w:szCs w:val="24"/>
        </w:rPr>
        <w:t>年，我部门安排政府采购预算</w:t>
      </w:r>
      <w:r>
        <w:rPr>
          <w:rFonts w:ascii="Times New Roman" w:hAnsi="Times New Roman"/>
          <w:sz w:val="32"/>
          <w:szCs w:val="24"/>
        </w:rPr>
        <w:t>6.5</w:t>
      </w:r>
      <w:r>
        <w:rPr>
          <w:rFonts w:hint="eastAsia" w:ascii="宋体" w:hAnsi="宋体" w:cs="宋体"/>
          <w:sz w:val="32"/>
          <w:szCs w:val="24"/>
        </w:rPr>
        <w:t>万元。具体内容见下表。</w:t>
      </w:r>
    </w:p>
    <w:bookmarkEnd w:id="2"/>
    <w:p>
      <w:pPr>
        <w:spacing w:line="584" w:lineRule="exact"/>
        <w:jc w:val="center"/>
        <w:outlineLvl w:val="0"/>
        <w:rPr>
          <w:rFonts w:ascii="Times New Roman" w:hAnsi="Times New Roman"/>
          <w:sz w:val="32"/>
        </w:rPr>
      </w:pPr>
      <w:bookmarkStart w:id="3" w:name="_Toc504489153"/>
      <w:r>
        <w:rPr>
          <w:rFonts w:hint="eastAsia" w:ascii="宋体" w:hAnsi="宋体" w:cs="宋体"/>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vAlign w:val="center"/>
          </w:tcPr>
          <w:p>
            <w:pPr>
              <w:spacing w:line="584" w:lineRule="exact"/>
              <w:jc w:val="left"/>
              <w:rPr>
                <w:rFonts w:ascii="Times New Roman" w:hAnsi="Times New Roman"/>
                <w:sz w:val="24"/>
              </w:rPr>
            </w:pPr>
            <w:r>
              <w:rPr>
                <w:rFonts w:hint="eastAsia" w:ascii="宋体" w:hAnsi="宋体" w:cs="宋体"/>
                <w:sz w:val="24"/>
              </w:rPr>
              <w:t>中共河北省大城县委办公室</w:t>
            </w:r>
          </w:p>
        </w:tc>
        <w:tc>
          <w:tcPr>
            <w:tcW w:w="6391" w:type="dxa"/>
            <w:gridSpan w:val="7"/>
            <w:tcBorders>
              <w:top w:val="single" w:color="FFFFFF" w:sz="6" w:space="0"/>
              <w:left w:val="single" w:color="FFFFFF" w:sz="6" w:space="0"/>
              <w:right w:val="single" w:color="FFFFFF" w:sz="6" w:space="0"/>
            </w:tcBorders>
            <w:vAlign w:val="center"/>
          </w:tcPr>
          <w:p>
            <w:pPr>
              <w:spacing w:line="584" w:lineRule="exact"/>
              <w:jc w:val="right"/>
              <w:rPr>
                <w:rFonts w:ascii="Times New Roman" w:hAnsi="Times New Roman"/>
                <w:sz w:val="24"/>
              </w:rPr>
            </w:pPr>
            <w:r>
              <w:rPr>
                <w:rFonts w:hint="eastAsia" w:ascii="宋体" w:hAnsi="宋体" w:cs="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vAlign w:val="center"/>
          </w:tcPr>
          <w:p>
            <w:pPr>
              <w:spacing w:line="584" w:lineRule="exact"/>
              <w:jc w:val="center"/>
              <w:rPr>
                <w:rFonts w:ascii="Times New Roman" w:hAnsi="Times New Roman"/>
                <w:b/>
              </w:rPr>
            </w:pPr>
            <w:r>
              <w:rPr>
                <w:rFonts w:hint="eastAsia" w:ascii="宋体" w:hAnsi="宋体" w:cs="宋体"/>
                <w:b/>
              </w:rPr>
              <w:t>政府采购项目来源</w:t>
            </w:r>
          </w:p>
        </w:tc>
        <w:tc>
          <w:tcPr>
            <w:tcW w:w="932" w:type="dxa"/>
            <w:vMerge w:val="restart"/>
            <w:vAlign w:val="center"/>
          </w:tcPr>
          <w:p>
            <w:pPr>
              <w:spacing w:line="584" w:lineRule="exact"/>
              <w:jc w:val="center"/>
              <w:rPr>
                <w:rFonts w:ascii="Times New Roman" w:hAnsi="Times New Roman"/>
                <w:b/>
              </w:rPr>
            </w:pPr>
            <w:r>
              <w:rPr>
                <w:rFonts w:hint="eastAsia" w:ascii="宋体" w:hAnsi="宋体" w:cs="宋体"/>
                <w:b/>
              </w:rPr>
              <w:t>采购物品名称</w:t>
            </w:r>
          </w:p>
        </w:tc>
        <w:tc>
          <w:tcPr>
            <w:tcW w:w="1372" w:type="dxa"/>
            <w:vMerge w:val="restart"/>
            <w:vAlign w:val="center"/>
          </w:tcPr>
          <w:p>
            <w:pPr>
              <w:spacing w:line="584" w:lineRule="exact"/>
              <w:jc w:val="center"/>
              <w:rPr>
                <w:rFonts w:ascii="Times New Roman" w:hAnsi="Times New Roman"/>
                <w:b/>
              </w:rPr>
            </w:pPr>
            <w:r>
              <w:rPr>
                <w:rFonts w:hint="eastAsia" w:ascii="宋体" w:hAnsi="宋体" w:cs="宋体"/>
                <w:b/>
              </w:rPr>
              <w:t>政府采购目录序号</w:t>
            </w:r>
          </w:p>
        </w:tc>
        <w:tc>
          <w:tcPr>
            <w:tcW w:w="720" w:type="dxa"/>
            <w:vMerge w:val="restart"/>
            <w:vAlign w:val="center"/>
          </w:tcPr>
          <w:p>
            <w:pPr>
              <w:spacing w:line="584" w:lineRule="exact"/>
              <w:jc w:val="center"/>
              <w:rPr>
                <w:rFonts w:ascii="Times New Roman" w:hAnsi="Times New Roman"/>
                <w:b/>
              </w:rPr>
            </w:pPr>
            <w:r>
              <w:rPr>
                <w:rFonts w:hint="eastAsia" w:ascii="宋体" w:hAnsi="宋体" w:cs="宋体"/>
                <w:b/>
              </w:rPr>
              <w:t>数量单位</w:t>
            </w:r>
          </w:p>
        </w:tc>
        <w:tc>
          <w:tcPr>
            <w:tcW w:w="740" w:type="dxa"/>
            <w:vMerge w:val="restart"/>
            <w:vAlign w:val="center"/>
          </w:tcPr>
          <w:p>
            <w:pPr>
              <w:spacing w:line="584" w:lineRule="exact"/>
              <w:jc w:val="center"/>
              <w:rPr>
                <w:rFonts w:ascii="Times New Roman" w:hAnsi="Times New Roman"/>
                <w:b/>
              </w:rPr>
            </w:pPr>
            <w:r>
              <w:rPr>
                <w:rFonts w:hint="eastAsia" w:ascii="宋体" w:hAnsi="宋体" w:cs="宋体"/>
                <w:b/>
              </w:rPr>
              <w:t>数量</w:t>
            </w:r>
          </w:p>
        </w:tc>
        <w:tc>
          <w:tcPr>
            <w:tcW w:w="950" w:type="dxa"/>
            <w:vMerge w:val="restart"/>
            <w:vAlign w:val="center"/>
          </w:tcPr>
          <w:p>
            <w:pPr>
              <w:spacing w:line="584" w:lineRule="exact"/>
              <w:jc w:val="center"/>
              <w:rPr>
                <w:rFonts w:ascii="Times New Roman" w:hAnsi="Times New Roman"/>
                <w:b/>
              </w:rPr>
            </w:pPr>
            <w:r>
              <w:rPr>
                <w:rFonts w:hint="eastAsia" w:ascii="宋体" w:hAnsi="宋体" w:cs="宋体"/>
                <w:b/>
              </w:rPr>
              <w:t>单价</w:t>
            </w:r>
          </w:p>
        </w:tc>
        <w:tc>
          <w:tcPr>
            <w:tcW w:w="6391" w:type="dxa"/>
            <w:gridSpan w:val="7"/>
            <w:vAlign w:val="center"/>
          </w:tcPr>
          <w:p>
            <w:pPr>
              <w:spacing w:line="584" w:lineRule="exact"/>
              <w:jc w:val="center"/>
              <w:rPr>
                <w:rFonts w:ascii="Times New Roman" w:hAnsi="Times New Roman"/>
                <w:b/>
              </w:rPr>
            </w:pPr>
            <w:r>
              <w:rPr>
                <w:rFonts w:hint="eastAsia" w:ascii="宋体" w:hAnsi="宋体" w:cs="宋体"/>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vAlign w:val="center"/>
          </w:tcPr>
          <w:p>
            <w:pPr>
              <w:spacing w:line="584" w:lineRule="exact"/>
              <w:jc w:val="center"/>
              <w:rPr>
                <w:rFonts w:ascii="Times New Roman" w:hAnsi="Times New Roman"/>
                <w:b/>
              </w:rPr>
            </w:pPr>
            <w:r>
              <w:rPr>
                <w:rFonts w:hint="eastAsia" w:ascii="宋体" w:hAnsi="宋体" w:cs="宋体"/>
                <w:b/>
              </w:rPr>
              <w:t>项目名称</w:t>
            </w:r>
          </w:p>
        </w:tc>
        <w:tc>
          <w:tcPr>
            <w:tcW w:w="1057" w:type="dxa"/>
            <w:vMerge w:val="restart"/>
            <w:vAlign w:val="center"/>
          </w:tcPr>
          <w:p>
            <w:pPr>
              <w:spacing w:line="584" w:lineRule="exact"/>
              <w:jc w:val="center"/>
              <w:rPr>
                <w:rFonts w:ascii="Times New Roman" w:hAnsi="Times New Roman"/>
                <w:b/>
              </w:rPr>
            </w:pPr>
            <w:r>
              <w:rPr>
                <w:rFonts w:hint="eastAsia" w:ascii="宋体" w:hAnsi="宋体" w:cs="宋体"/>
                <w:b/>
              </w:rPr>
              <w:t>预算资金</w:t>
            </w:r>
          </w:p>
        </w:tc>
        <w:tc>
          <w:tcPr>
            <w:tcW w:w="932" w:type="dxa"/>
            <w:vMerge w:val="continue"/>
            <w:vAlign w:val="center"/>
          </w:tcPr>
          <w:p>
            <w:pPr>
              <w:spacing w:line="584" w:lineRule="exact"/>
              <w:jc w:val="left"/>
              <w:outlineLvl w:val="0"/>
              <w:rPr>
                <w:rFonts w:ascii="Times New Roman" w:hAnsi="Times New Roman"/>
              </w:rPr>
            </w:pPr>
          </w:p>
        </w:tc>
        <w:tc>
          <w:tcPr>
            <w:tcW w:w="1372" w:type="dxa"/>
            <w:vMerge w:val="continue"/>
            <w:vAlign w:val="center"/>
          </w:tcPr>
          <w:p>
            <w:pPr>
              <w:spacing w:line="584" w:lineRule="exact"/>
              <w:jc w:val="left"/>
              <w:outlineLvl w:val="0"/>
              <w:rPr>
                <w:rFonts w:ascii="Times New Roman" w:hAnsi="Times New Roman"/>
              </w:rPr>
            </w:pPr>
          </w:p>
        </w:tc>
        <w:tc>
          <w:tcPr>
            <w:tcW w:w="720" w:type="dxa"/>
            <w:vMerge w:val="continue"/>
            <w:vAlign w:val="center"/>
          </w:tcPr>
          <w:p>
            <w:pPr>
              <w:spacing w:line="584" w:lineRule="exact"/>
              <w:jc w:val="left"/>
              <w:outlineLvl w:val="0"/>
              <w:rPr>
                <w:rFonts w:ascii="Times New Roman" w:hAnsi="Times New Roman"/>
              </w:rPr>
            </w:pPr>
          </w:p>
        </w:tc>
        <w:tc>
          <w:tcPr>
            <w:tcW w:w="740" w:type="dxa"/>
            <w:vMerge w:val="continue"/>
            <w:vAlign w:val="center"/>
          </w:tcPr>
          <w:p>
            <w:pPr>
              <w:spacing w:line="584" w:lineRule="exact"/>
              <w:jc w:val="left"/>
              <w:outlineLvl w:val="0"/>
              <w:rPr>
                <w:rFonts w:ascii="Times New Roman" w:hAnsi="Times New Roman"/>
              </w:rPr>
            </w:pPr>
          </w:p>
        </w:tc>
        <w:tc>
          <w:tcPr>
            <w:tcW w:w="950" w:type="dxa"/>
            <w:vMerge w:val="continue"/>
            <w:vAlign w:val="center"/>
          </w:tcPr>
          <w:p>
            <w:pPr>
              <w:spacing w:line="584" w:lineRule="exact"/>
              <w:jc w:val="left"/>
              <w:outlineLvl w:val="0"/>
              <w:rPr>
                <w:rFonts w:ascii="Times New Roman" w:hAnsi="Times New Roman"/>
              </w:rPr>
            </w:pPr>
          </w:p>
        </w:tc>
        <w:tc>
          <w:tcPr>
            <w:tcW w:w="956" w:type="dxa"/>
            <w:vMerge w:val="restart"/>
            <w:vAlign w:val="center"/>
          </w:tcPr>
          <w:p>
            <w:pPr>
              <w:spacing w:line="584" w:lineRule="exact"/>
              <w:jc w:val="center"/>
              <w:rPr>
                <w:rFonts w:ascii="Times New Roman" w:hAnsi="Times New Roman"/>
                <w:b/>
              </w:rPr>
            </w:pPr>
            <w:r>
              <w:rPr>
                <w:rFonts w:hint="eastAsia" w:ascii="宋体" w:hAnsi="宋体" w:cs="宋体"/>
                <w:b/>
              </w:rPr>
              <w:t>总计</w:t>
            </w:r>
          </w:p>
        </w:tc>
        <w:tc>
          <w:tcPr>
            <w:tcW w:w="4555" w:type="dxa"/>
            <w:gridSpan w:val="5"/>
            <w:vAlign w:val="center"/>
          </w:tcPr>
          <w:p>
            <w:pPr>
              <w:spacing w:line="584" w:lineRule="exact"/>
              <w:jc w:val="center"/>
              <w:rPr>
                <w:rFonts w:ascii="Times New Roman" w:hAnsi="Times New Roman"/>
                <w:b/>
              </w:rPr>
            </w:pPr>
            <w:r>
              <w:rPr>
                <w:rFonts w:hint="eastAsia" w:ascii="宋体" w:hAnsi="宋体" w:cs="宋体"/>
                <w:b/>
              </w:rPr>
              <w:t>当年部门预算安排资金</w:t>
            </w:r>
          </w:p>
        </w:tc>
        <w:tc>
          <w:tcPr>
            <w:tcW w:w="880" w:type="dxa"/>
            <w:vMerge w:val="restart"/>
            <w:vAlign w:val="center"/>
          </w:tcPr>
          <w:p>
            <w:pPr>
              <w:spacing w:line="584" w:lineRule="exact"/>
              <w:jc w:val="center"/>
              <w:rPr>
                <w:rFonts w:ascii="Times New Roman" w:hAnsi="Times New Roman"/>
                <w:b/>
              </w:rPr>
            </w:pPr>
            <w:r>
              <w:rPr>
                <w:rFonts w:hint="eastAsia" w:ascii="宋体" w:hAnsi="宋体" w:cs="宋体"/>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vAlign w:val="center"/>
          </w:tcPr>
          <w:p>
            <w:pPr>
              <w:spacing w:line="584" w:lineRule="exact"/>
              <w:jc w:val="left"/>
              <w:outlineLvl w:val="0"/>
              <w:rPr>
                <w:rFonts w:ascii="Times New Roman" w:hAnsi="Times New Roman"/>
              </w:rPr>
            </w:pPr>
          </w:p>
        </w:tc>
        <w:tc>
          <w:tcPr>
            <w:tcW w:w="1057" w:type="dxa"/>
            <w:vMerge w:val="continue"/>
            <w:vAlign w:val="center"/>
          </w:tcPr>
          <w:p>
            <w:pPr>
              <w:spacing w:line="584" w:lineRule="exact"/>
              <w:jc w:val="left"/>
              <w:outlineLvl w:val="0"/>
              <w:rPr>
                <w:rFonts w:ascii="Times New Roman" w:hAnsi="Times New Roman"/>
              </w:rPr>
            </w:pPr>
          </w:p>
        </w:tc>
        <w:tc>
          <w:tcPr>
            <w:tcW w:w="932" w:type="dxa"/>
            <w:vMerge w:val="continue"/>
            <w:vAlign w:val="center"/>
          </w:tcPr>
          <w:p>
            <w:pPr>
              <w:spacing w:line="584" w:lineRule="exact"/>
              <w:jc w:val="left"/>
              <w:outlineLvl w:val="0"/>
              <w:rPr>
                <w:rFonts w:ascii="Times New Roman" w:hAnsi="Times New Roman"/>
              </w:rPr>
            </w:pPr>
          </w:p>
        </w:tc>
        <w:tc>
          <w:tcPr>
            <w:tcW w:w="1372" w:type="dxa"/>
            <w:vMerge w:val="continue"/>
            <w:vAlign w:val="center"/>
          </w:tcPr>
          <w:p>
            <w:pPr>
              <w:spacing w:line="584" w:lineRule="exact"/>
              <w:jc w:val="left"/>
              <w:outlineLvl w:val="0"/>
              <w:rPr>
                <w:rFonts w:ascii="Times New Roman" w:hAnsi="Times New Roman"/>
              </w:rPr>
            </w:pPr>
          </w:p>
        </w:tc>
        <w:tc>
          <w:tcPr>
            <w:tcW w:w="720" w:type="dxa"/>
            <w:vMerge w:val="continue"/>
            <w:vAlign w:val="center"/>
          </w:tcPr>
          <w:p>
            <w:pPr>
              <w:spacing w:line="584" w:lineRule="exact"/>
              <w:jc w:val="left"/>
              <w:outlineLvl w:val="0"/>
              <w:rPr>
                <w:rFonts w:ascii="Times New Roman" w:hAnsi="Times New Roman"/>
              </w:rPr>
            </w:pPr>
          </w:p>
        </w:tc>
        <w:tc>
          <w:tcPr>
            <w:tcW w:w="740" w:type="dxa"/>
            <w:vMerge w:val="continue"/>
            <w:vAlign w:val="center"/>
          </w:tcPr>
          <w:p>
            <w:pPr>
              <w:spacing w:line="584" w:lineRule="exact"/>
              <w:jc w:val="left"/>
              <w:outlineLvl w:val="0"/>
              <w:rPr>
                <w:rFonts w:ascii="Times New Roman" w:hAnsi="Times New Roman"/>
              </w:rPr>
            </w:pPr>
          </w:p>
        </w:tc>
        <w:tc>
          <w:tcPr>
            <w:tcW w:w="950" w:type="dxa"/>
            <w:vMerge w:val="continue"/>
            <w:vAlign w:val="center"/>
          </w:tcPr>
          <w:p>
            <w:pPr>
              <w:spacing w:line="584" w:lineRule="exact"/>
              <w:jc w:val="left"/>
              <w:outlineLvl w:val="0"/>
              <w:rPr>
                <w:rFonts w:ascii="Times New Roman" w:hAnsi="Times New Roman"/>
              </w:rPr>
            </w:pPr>
          </w:p>
        </w:tc>
        <w:tc>
          <w:tcPr>
            <w:tcW w:w="956" w:type="dxa"/>
            <w:vMerge w:val="continue"/>
            <w:vAlign w:val="center"/>
          </w:tcPr>
          <w:p>
            <w:pPr>
              <w:spacing w:line="584" w:lineRule="exact"/>
              <w:jc w:val="left"/>
              <w:outlineLvl w:val="0"/>
              <w:rPr>
                <w:rFonts w:ascii="Times New Roman" w:hAnsi="Times New Roman"/>
              </w:rPr>
            </w:pPr>
          </w:p>
        </w:tc>
        <w:tc>
          <w:tcPr>
            <w:tcW w:w="956" w:type="dxa"/>
            <w:vAlign w:val="center"/>
          </w:tcPr>
          <w:p>
            <w:pPr>
              <w:spacing w:line="584" w:lineRule="exact"/>
              <w:jc w:val="center"/>
              <w:rPr>
                <w:rFonts w:ascii="Times New Roman" w:hAnsi="Times New Roman"/>
                <w:b/>
              </w:rPr>
            </w:pPr>
            <w:r>
              <w:rPr>
                <w:rFonts w:hint="eastAsia" w:ascii="宋体" w:hAnsi="宋体" w:cs="宋体"/>
                <w:b/>
              </w:rPr>
              <w:t>合计</w:t>
            </w:r>
          </w:p>
        </w:tc>
        <w:tc>
          <w:tcPr>
            <w:tcW w:w="956" w:type="dxa"/>
            <w:vAlign w:val="center"/>
          </w:tcPr>
          <w:p>
            <w:pPr>
              <w:spacing w:line="584" w:lineRule="exact"/>
              <w:jc w:val="center"/>
              <w:rPr>
                <w:rFonts w:ascii="Times New Roman" w:hAnsi="Times New Roman"/>
                <w:b/>
              </w:rPr>
            </w:pPr>
            <w:r>
              <w:rPr>
                <w:rFonts w:hint="eastAsia" w:ascii="宋体" w:hAnsi="宋体" w:cs="宋体"/>
                <w:b/>
              </w:rPr>
              <w:t>一般公共预算拨款</w:t>
            </w:r>
          </w:p>
        </w:tc>
        <w:tc>
          <w:tcPr>
            <w:tcW w:w="790" w:type="dxa"/>
            <w:vAlign w:val="center"/>
          </w:tcPr>
          <w:p>
            <w:pPr>
              <w:spacing w:line="584" w:lineRule="exact"/>
              <w:jc w:val="center"/>
              <w:rPr>
                <w:rFonts w:ascii="Times New Roman" w:hAnsi="Times New Roman"/>
                <w:b/>
              </w:rPr>
            </w:pPr>
            <w:r>
              <w:rPr>
                <w:rFonts w:hint="eastAsia" w:ascii="宋体" w:hAnsi="宋体" w:cs="宋体"/>
                <w:b/>
              </w:rPr>
              <w:t>基金预算拨款</w:t>
            </w:r>
          </w:p>
        </w:tc>
        <w:tc>
          <w:tcPr>
            <w:tcW w:w="924" w:type="dxa"/>
            <w:vAlign w:val="center"/>
          </w:tcPr>
          <w:p>
            <w:pPr>
              <w:spacing w:line="584" w:lineRule="exact"/>
              <w:jc w:val="center"/>
              <w:rPr>
                <w:rFonts w:ascii="Times New Roman" w:hAnsi="Times New Roman"/>
                <w:b/>
              </w:rPr>
            </w:pPr>
            <w:r>
              <w:rPr>
                <w:rFonts w:hint="eastAsia" w:ascii="宋体" w:hAnsi="宋体" w:cs="宋体"/>
                <w:b/>
              </w:rPr>
              <w:t>财政专户核拨</w:t>
            </w:r>
          </w:p>
        </w:tc>
        <w:tc>
          <w:tcPr>
            <w:tcW w:w="929" w:type="dxa"/>
            <w:vAlign w:val="center"/>
          </w:tcPr>
          <w:p>
            <w:pPr>
              <w:spacing w:line="584" w:lineRule="exact"/>
              <w:jc w:val="center"/>
              <w:rPr>
                <w:rFonts w:ascii="Times New Roman" w:hAnsi="Times New Roman"/>
                <w:b/>
              </w:rPr>
            </w:pPr>
            <w:r>
              <w:rPr>
                <w:rFonts w:hint="eastAsia" w:ascii="宋体" w:hAnsi="宋体" w:cs="宋体"/>
                <w:b/>
              </w:rPr>
              <w:t>其他来源收入</w:t>
            </w:r>
          </w:p>
        </w:tc>
        <w:tc>
          <w:tcPr>
            <w:tcW w:w="880" w:type="dxa"/>
            <w:vMerge w:val="continue"/>
            <w:vAlign w:val="center"/>
          </w:tcPr>
          <w:p>
            <w:pPr>
              <w:spacing w:line="584" w:lineRule="exact"/>
              <w:jc w:val="left"/>
              <w:outlineLvl w:val="0"/>
              <w:rPr>
                <w:rFonts w:ascii="Times New Roman" w:hAns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b/>
              </w:rPr>
            </w:pPr>
            <w:r>
              <w:rPr>
                <w:rFonts w:hint="eastAsia" w:ascii="宋体" w:hAnsi="宋体" w:cs="宋体"/>
                <w:b/>
              </w:rPr>
              <w:t>合　计</w:t>
            </w:r>
          </w:p>
        </w:tc>
        <w:tc>
          <w:tcPr>
            <w:tcW w:w="1057" w:type="dxa"/>
            <w:vAlign w:val="center"/>
          </w:tcPr>
          <w:p>
            <w:pPr>
              <w:spacing w:line="584" w:lineRule="exact"/>
              <w:jc w:val="right"/>
              <w:rPr>
                <w:rFonts w:ascii="Times New Roman" w:hAnsi="Times New Roman"/>
                <w:b/>
              </w:rPr>
            </w:pPr>
          </w:p>
        </w:tc>
        <w:tc>
          <w:tcPr>
            <w:tcW w:w="932" w:type="dxa"/>
            <w:vAlign w:val="center"/>
          </w:tcPr>
          <w:p>
            <w:pPr>
              <w:spacing w:line="584" w:lineRule="exact"/>
              <w:jc w:val="left"/>
              <w:rPr>
                <w:rFonts w:ascii="Times New Roman" w:hAnsi="Times New Roman"/>
                <w:b/>
              </w:rPr>
            </w:pPr>
          </w:p>
        </w:tc>
        <w:tc>
          <w:tcPr>
            <w:tcW w:w="1372" w:type="dxa"/>
            <w:vAlign w:val="center"/>
          </w:tcPr>
          <w:p>
            <w:pPr>
              <w:spacing w:line="584" w:lineRule="exact"/>
              <w:jc w:val="left"/>
              <w:rPr>
                <w:rFonts w:ascii="Times New Roman" w:hAnsi="Times New Roman"/>
                <w:b/>
              </w:rPr>
            </w:pPr>
          </w:p>
        </w:tc>
        <w:tc>
          <w:tcPr>
            <w:tcW w:w="720" w:type="dxa"/>
            <w:vAlign w:val="center"/>
          </w:tcPr>
          <w:p>
            <w:pPr>
              <w:spacing w:line="584" w:lineRule="exact"/>
              <w:jc w:val="left"/>
              <w:rPr>
                <w:rFonts w:ascii="Times New Roman" w:hAnsi="Times New Roman"/>
                <w:b/>
              </w:rPr>
            </w:pPr>
          </w:p>
        </w:tc>
        <w:tc>
          <w:tcPr>
            <w:tcW w:w="740" w:type="dxa"/>
            <w:vAlign w:val="center"/>
          </w:tcPr>
          <w:p>
            <w:pPr>
              <w:spacing w:line="584" w:lineRule="exact"/>
              <w:jc w:val="right"/>
              <w:rPr>
                <w:rFonts w:ascii="Times New Roman" w:hAnsi="Times New Roman"/>
                <w:b/>
              </w:rPr>
            </w:pPr>
          </w:p>
        </w:tc>
        <w:tc>
          <w:tcPr>
            <w:tcW w:w="950" w:type="dxa"/>
            <w:vAlign w:val="center"/>
          </w:tcPr>
          <w:p>
            <w:pPr>
              <w:spacing w:line="584" w:lineRule="exact"/>
              <w:jc w:val="right"/>
              <w:rPr>
                <w:rFonts w:ascii="Times New Roman" w:hAnsi="Times New Roman"/>
                <w:b/>
              </w:rPr>
            </w:pPr>
          </w:p>
        </w:tc>
        <w:tc>
          <w:tcPr>
            <w:tcW w:w="956" w:type="dxa"/>
            <w:vAlign w:val="center"/>
          </w:tcPr>
          <w:p>
            <w:pPr>
              <w:spacing w:line="584" w:lineRule="exact"/>
              <w:jc w:val="right"/>
              <w:rPr>
                <w:rFonts w:ascii="Times New Roman" w:hAnsi="Times New Roman"/>
                <w:b/>
              </w:rPr>
            </w:pPr>
          </w:p>
        </w:tc>
        <w:tc>
          <w:tcPr>
            <w:tcW w:w="956" w:type="dxa"/>
            <w:vAlign w:val="center"/>
          </w:tcPr>
          <w:p>
            <w:pPr>
              <w:spacing w:line="584" w:lineRule="exact"/>
              <w:jc w:val="right"/>
              <w:rPr>
                <w:rFonts w:ascii="Times New Roman" w:hAnsi="Times New Roman"/>
                <w:b/>
              </w:rPr>
            </w:pPr>
          </w:p>
        </w:tc>
        <w:tc>
          <w:tcPr>
            <w:tcW w:w="956" w:type="dxa"/>
            <w:vAlign w:val="center"/>
          </w:tcPr>
          <w:p>
            <w:pPr>
              <w:spacing w:line="584" w:lineRule="exact"/>
              <w:jc w:val="right"/>
              <w:rPr>
                <w:rFonts w:ascii="Times New Roman" w:hAnsi="Times New Roman"/>
                <w:b/>
              </w:rPr>
            </w:pPr>
          </w:p>
        </w:tc>
        <w:tc>
          <w:tcPr>
            <w:tcW w:w="790" w:type="dxa"/>
            <w:vAlign w:val="center"/>
          </w:tcPr>
          <w:p>
            <w:pPr>
              <w:spacing w:line="584" w:lineRule="exact"/>
              <w:jc w:val="right"/>
              <w:rPr>
                <w:rFonts w:ascii="Times New Roman" w:hAnsi="Times New Roman"/>
                <w:b/>
              </w:rPr>
            </w:pPr>
          </w:p>
        </w:tc>
        <w:tc>
          <w:tcPr>
            <w:tcW w:w="924" w:type="dxa"/>
            <w:vAlign w:val="center"/>
          </w:tcPr>
          <w:p>
            <w:pPr>
              <w:spacing w:line="584" w:lineRule="exact"/>
              <w:jc w:val="right"/>
              <w:rPr>
                <w:rFonts w:ascii="Times New Roman" w:hAnsi="Times New Roman"/>
                <w:b/>
              </w:rPr>
            </w:pPr>
          </w:p>
        </w:tc>
        <w:tc>
          <w:tcPr>
            <w:tcW w:w="929" w:type="dxa"/>
            <w:vAlign w:val="center"/>
          </w:tcPr>
          <w:p>
            <w:pPr>
              <w:spacing w:line="584" w:lineRule="exact"/>
              <w:jc w:val="right"/>
              <w:rPr>
                <w:rFonts w:ascii="Times New Roman" w:hAnsi="Times New Roman"/>
                <w:b/>
              </w:rPr>
            </w:pPr>
          </w:p>
        </w:tc>
        <w:tc>
          <w:tcPr>
            <w:tcW w:w="880" w:type="dxa"/>
            <w:vAlign w:val="center"/>
          </w:tcPr>
          <w:p>
            <w:pPr>
              <w:spacing w:line="584" w:lineRule="exact"/>
              <w:jc w:val="right"/>
              <w:rPr>
                <w:rFonts w:ascii="Times New Roman" w:hAnsi="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300" w:lineRule="exact"/>
              <w:rPr>
                <w:rFonts w:ascii="Times New Roman" w:hAnsi="Times New Roman"/>
                <w:b/>
              </w:rPr>
            </w:pPr>
            <w:r>
              <w:rPr>
                <w:rFonts w:hint="eastAsia" w:ascii="方正书宋_GBK" w:eastAsia="方正书宋_GBK"/>
              </w:rPr>
              <w:t>项目支出经费</w:t>
            </w:r>
          </w:p>
        </w:tc>
        <w:tc>
          <w:tcPr>
            <w:tcW w:w="1057" w:type="dxa"/>
            <w:vAlign w:val="center"/>
          </w:tcPr>
          <w:p>
            <w:pPr>
              <w:spacing w:line="300" w:lineRule="exact"/>
              <w:jc w:val="right"/>
              <w:rPr>
                <w:rFonts w:ascii="Times New Roman" w:hAnsi="Times New Roman"/>
                <w:b/>
              </w:rPr>
            </w:pPr>
            <w:r>
              <w:rPr>
                <w:rFonts w:ascii="Times New Roman" w:hAnsi="Times New Roman"/>
                <w:b/>
              </w:rPr>
              <w:t>4.5</w:t>
            </w:r>
          </w:p>
        </w:tc>
        <w:tc>
          <w:tcPr>
            <w:tcW w:w="932" w:type="dxa"/>
            <w:vAlign w:val="center"/>
          </w:tcPr>
          <w:p>
            <w:pPr>
              <w:spacing w:line="300" w:lineRule="exact"/>
              <w:jc w:val="left"/>
              <w:rPr>
                <w:rFonts w:ascii="Times New Roman" w:hAnsi="Times New Roman"/>
                <w:b/>
              </w:rPr>
            </w:pPr>
            <w:r>
              <w:rPr>
                <w:rFonts w:hint="eastAsia" w:ascii="方正书宋_GBK" w:hAnsi="Times New Roman" w:eastAsia="方正书宋_GBK"/>
                <w:b/>
                <w:szCs w:val="24"/>
              </w:rPr>
              <w:t>计算机设备</w:t>
            </w:r>
          </w:p>
        </w:tc>
        <w:tc>
          <w:tcPr>
            <w:tcW w:w="1372" w:type="dxa"/>
            <w:vAlign w:val="center"/>
          </w:tcPr>
          <w:p>
            <w:pPr>
              <w:spacing w:line="300" w:lineRule="exact"/>
              <w:jc w:val="left"/>
              <w:rPr>
                <w:rFonts w:ascii="Times New Roman" w:hAnsi="Times New Roman"/>
                <w:b/>
              </w:rPr>
            </w:pPr>
            <w:r>
              <w:rPr>
                <w:rFonts w:ascii="方正书宋_GBK" w:hAnsi="Times New Roman" w:eastAsia="方正书宋_GBK"/>
                <w:b/>
                <w:szCs w:val="24"/>
              </w:rPr>
              <w:t>A020101</w:t>
            </w:r>
          </w:p>
        </w:tc>
        <w:tc>
          <w:tcPr>
            <w:tcW w:w="720" w:type="dxa"/>
            <w:vAlign w:val="center"/>
          </w:tcPr>
          <w:p>
            <w:pPr>
              <w:spacing w:line="300" w:lineRule="exact"/>
              <w:jc w:val="left"/>
              <w:rPr>
                <w:rFonts w:ascii="Times New Roman" w:hAnsi="Times New Roman"/>
                <w:b/>
              </w:rPr>
            </w:pPr>
            <w:r>
              <w:rPr>
                <w:rFonts w:hint="eastAsia" w:ascii="方正书宋_GBK" w:hAnsi="Times New Roman" w:eastAsia="方正书宋_GBK"/>
                <w:b/>
                <w:szCs w:val="24"/>
              </w:rPr>
              <w:t>台</w:t>
            </w:r>
          </w:p>
        </w:tc>
        <w:tc>
          <w:tcPr>
            <w:tcW w:w="740" w:type="dxa"/>
            <w:vAlign w:val="center"/>
          </w:tcPr>
          <w:p>
            <w:pPr>
              <w:spacing w:line="300" w:lineRule="exact"/>
              <w:jc w:val="right"/>
              <w:rPr>
                <w:rFonts w:ascii="Times New Roman" w:hAnsi="Times New Roman"/>
                <w:b/>
              </w:rPr>
            </w:pPr>
            <w:r>
              <w:rPr>
                <w:rFonts w:ascii="方正书宋_GBK" w:hAnsi="Times New Roman" w:eastAsia="方正书宋_GBK"/>
                <w:b/>
                <w:szCs w:val="24"/>
              </w:rPr>
              <w:t>10</w:t>
            </w:r>
          </w:p>
        </w:tc>
        <w:tc>
          <w:tcPr>
            <w:tcW w:w="950" w:type="dxa"/>
            <w:vAlign w:val="center"/>
          </w:tcPr>
          <w:p>
            <w:pPr>
              <w:spacing w:line="300" w:lineRule="exact"/>
              <w:jc w:val="right"/>
              <w:rPr>
                <w:rFonts w:ascii="Times New Roman" w:hAnsi="Times New Roman"/>
                <w:b/>
              </w:rPr>
            </w:pPr>
            <w:r>
              <w:rPr>
                <w:rFonts w:ascii="方正书宋_GBK" w:hAnsi="Times New Roman" w:eastAsia="方正书宋_GBK"/>
                <w:b/>
                <w:szCs w:val="24"/>
              </w:rPr>
              <w:t>0.45</w:t>
            </w:r>
          </w:p>
        </w:tc>
        <w:tc>
          <w:tcPr>
            <w:tcW w:w="956" w:type="dxa"/>
            <w:vAlign w:val="center"/>
          </w:tcPr>
          <w:p>
            <w:pPr>
              <w:spacing w:line="300" w:lineRule="exact"/>
              <w:ind w:right="105"/>
              <w:jc w:val="right"/>
              <w:rPr>
                <w:rFonts w:ascii="Times New Roman" w:hAnsi="Times New Roman"/>
                <w:b/>
              </w:rPr>
            </w:pPr>
            <w:r>
              <w:rPr>
                <w:rFonts w:ascii="方正书宋_GBK" w:hAnsi="Times New Roman" w:eastAsia="方正书宋_GBK"/>
                <w:b/>
                <w:szCs w:val="24"/>
              </w:rPr>
              <w:t>4.5</w:t>
            </w:r>
          </w:p>
        </w:tc>
        <w:tc>
          <w:tcPr>
            <w:tcW w:w="956" w:type="dxa"/>
            <w:vAlign w:val="center"/>
          </w:tcPr>
          <w:p>
            <w:pPr>
              <w:spacing w:line="300" w:lineRule="exact"/>
              <w:ind w:right="105"/>
              <w:jc w:val="right"/>
              <w:rPr>
                <w:rFonts w:ascii="Times New Roman" w:hAnsi="Times New Roman"/>
                <w:b/>
              </w:rPr>
            </w:pPr>
            <w:r>
              <w:rPr>
                <w:rFonts w:ascii="方正书宋_GBK" w:hAnsi="Times New Roman" w:eastAsia="方正书宋_GBK"/>
                <w:b/>
                <w:szCs w:val="24"/>
              </w:rPr>
              <w:t>4.5</w:t>
            </w:r>
          </w:p>
        </w:tc>
        <w:tc>
          <w:tcPr>
            <w:tcW w:w="956" w:type="dxa"/>
            <w:vAlign w:val="center"/>
          </w:tcPr>
          <w:p>
            <w:pPr>
              <w:spacing w:line="300" w:lineRule="exact"/>
              <w:jc w:val="right"/>
              <w:rPr>
                <w:rFonts w:ascii="Times New Roman" w:hAnsi="Times New Roman"/>
                <w:b/>
              </w:rPr>
            </w:pPr>
            <w:r>
              <w:rPr>
                <w:rFonts w:ascii="Times New Roman" w:hAnsi="Times New Roman"/>
                <w:b/>
              </w:rPr>
              <w:t>4.5</w:t>
            </w:r>
          </w:p>
        </w:tc>
        <w:tc>
          <w:tcPr>
            <w:tcW w:w="790" w:type="dxa"/>
            <w:vAlign w:val="center"/>
          </w:tcPr>
          <w:p>
            <w:pPr>
              <w:spacing w:line="584" w:lineRule="exact"/>
              <w:jc w:val="right"/>
              <w:rPr>
                <w:rFonts w:ascii="Times New Roman" w:hAnsi="Times New Roman"/>
                <w:b/>
              </w:rPr>
            </w:pPr>
          </w:p>
        </w:tc>
        <w:tc>
          <w:tcPr>
            <w:tcW w:w="924" w:type="dxa"/>
            <w:vAlign w:val="center"/>
          </w:tcPr>
          <w:p>
            <w:pPr>
              <w:spacing w:line="584" w:lineRule="exact"/>
              <w:jc w:val="right"/>
              <w:rPr>
                <w:rFonts w:ascii="Times New Roman" w:hAnsi="Times New Roman"/>
                <w:b/>
              </w:rPr>
            </w:pPr>
          </w:p>
        </w:tc>
        <w:tc>
          <w:tcPr>
            <w:tcW w:w="929" w:type="dxa"/>
            <w:vAlign w:val="center"/>
          </w:tcPr>
          <w:p>
            <w:pPr>
              <w:spacing w:line="584" w:lineRule="exact"/>
              <w:jc w:val="right"/>
              <w:rPr>
                <w:rFonts w:ascii="Times New Roman" w:hAnsi="Times New Roman"/>
                <w:b/>
              </w:rPr>
            </w:pPr>
          </w:p>
        </w:tc>
        <w:tc>
          <w:tcPr>
            <w:tcW w:w="880" w:type="dxa"/>
            <w:vAlign w:val="center"/>
          </w:tcPr>
          <w:p>
            <w:pPr>
              <w:spacing w:line="584" w:lineRule="exact"/>
              <w:jc w:val="right"/>
              <w:rPr>
                <w:rFonts w:ascii="Times New Roman" w:hAnsi="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300" w:lineRule="exact"/>
              <w:rPr>
                <w:rFonts w:ascii="Times New Roman" w:hAnsi="Times New Roman"/>
              </w:rPr>
            </w:pPr>
            <w:r>
              <w:rPr>
                <w:rFonts w:hint="eastAsia" w:ascii="方正书宋_GBK" w:eastAsia="方正书宋_GBK"/>
              </w:rPr>
              <w:t>项目支出经费</w:t>
            </w:r>
          </w:p>
        </w:tc>
        <w:tc>
          <w:tcPr>
            <w:tcW w:w="1057" w:type="dxa"/>
            <w:vAlign w:val="center"/>
          </w:tcPr>
          <w:p>
            <w:pPr>
              <w:spacing w:line="300" w:lineRule="exact"/>
              <w:jc w:val="right"/>
              <w:rPr>
                <w:rFonts w:ascii="Times New Roman" w:hAnsi="Times New Roman"/>
              </w:rPr>
            </w:pPr>
            <w:r>
              <w:rPr>
                <w:rFonts w:ascii="方正书宋_GBK" w:hAnsi="Times New Roman" w:eastAsia="方正书宋_GBK"/>
                <w:szCs w:val="24"/>
              </w:rPr>
              <w:t>2</w:t>
            </w:r>
          </w:p>
        </w:tc>
        <w:tc>
          <w:tcPr>
            <w:tcW w:w="932" w:type="dxa"/>
            <w:vAlign w:val="center"/>
          </w:tcPr>
          <w:p>
            <w:pPr>
              <w:spacing w:line="300" w:lineRule="exact"/>
              <w:jc w:val="left"/>
              <w:rPr>
                <w:rFonts w:ascii="Times New Roman" w:hAnsi="Times New Roman"/>
              </w:rPr>
            </w:pPr>
            <w:r>
              <w:rPr>
                <w:rFonts w:hint="eastAsia" w:ascii="方正书宋_GBK" w:hAnsi="Times New Roman" w:eastAsia="方正书宋_GBK"/>
                <w:szCs w:val="24"/>
              </w:rPr>
              <w:t>复印机</w:t>
            </w:r>
          </w:p>
        </w:tc>
        <w:tc>
          <w:tcPr>
            <w:tcW w:w="1372" w:type="dxa"/>
            <w:vAlign w:val="center"/>
          </w:tcPr>
          <w:p>
            <w:pPr>
              <w:spacing w:line="300" w:lineRule="exact"/>
              <w:jc w:val="left"/>
              <w:rPr>
                <w:rFonts w:ascii="Times New Roman" w:hAnsi="Times New Roman"/>
              </w:rPr>
            </w:pPr>
            <w:r>
              <w:rPr>
                <w:rFonts w:ascii="Times New Roman" w:hAnsi="Times New Roman"/>
              </w:rPr>
              <w:t>A020201</w:t>
            </w:r>
          </w:p>
        </w:tc>
        <w:tc>
          <w:tcPr>
            <w:tcW w:w="720" w:type="dxa"/>
            <w:vAlign w:val="center"/>
          </w:tcPr>
          <w:p>
            <w:pPr>
              <w:spacing w:line="300" w:lineRule="exact"/>
              <w:jc w:val="left"/>
              <w:rPr>
                <w:rFonts w:ascii="Times New Roman" w:hAnsi="Times New Roman"/>
              </w:rPr>
            </w:pPr>
            <w:r>
              <w:rPr>
                <w:rFonts w:hint="eastAsia" w:ascii="方正书宋_GBK" w:hAnsi="Times New Roman" w:eastAsia="方正书宋_GBK"/>
                <w:szCs w:val="24"/>
              </w:rPr>
              <w:t>台</w:t>
            </w:r>
          </w:p>
        </w:tc>
        <w:tc>
          <w:tcPr>
            <w:tcW w:w="740" w:type="dxa"/>
            <w:vAlign w:val="center"/>
          </w:tcPr>
          <w:p>
            <w:pPr>
              <w:spacing w:line="300" w:lineRule="exact"/>
              <w:jc w:val="right"/>
              <w:rPr>
                <w:rFonts w:ascii="Times New Roman" w:hAnsi="Times New Roman"/>
              </w:rPr>
            </w:pPr>
            <w:r>
              <w:rPr>
                <w:rFonts w:ascii="方正书宋_GBK" w:hAnsi="Times New Roman" w:eastAsia="方正书宋_GBK"/>
                <w:szCs w:val="24"/>
              </w:rPr>
              <w:t>1</w:t>
            </w:r>
          </w:p>
        </w:tc>
        <w:tc>
          <w:tcPr>
            <w:tcW w:w="950" w:type="dxa"/>
            <w:vAlign w:val="center"/>
          </w:tcPr>
          <w:p>
            <w:pPr>
              <w:spacing w:line="300" w:lineRule="exact"/>
              <w:ind w:right="105"/>
              <w:jc w:val="right"/>
              <w:rPr>
                <w:rFonts w:ascii="Times New Roman" w:hAnsi="Times New Roman"/>
              </w:rPr>
            </w:pPr>
            <w:r>
              <w:rPr>
                <w:rFonts w:ascii="方正书宋_GBK" w:hAnsi="Times New Roman" w:eastAsia="方正书宋_GBK"/>
                <w:szCs w:val="24"/>
              </w:rPr>
              <w:t>2</w:t>
            </w:r>
          </w:p>
        </w:tc>
        <w:tc>
          <w:tcPr>
            <w:tcW w:w="956" w:type="dxa"/>
            <w:vAlign w:val="center"/>
          </w:tcPr>
          <w:p>
            <w:pPr>
              <w:spacing w:line="300" w:lineRule="exact"/>
              <w:ind w:right="105"/>
              <w:jc w:val="right"/>
              <w:rPr>
                <w:rFonts w:ascii="Times New Roman" w:hAnsi="Times New Roman"/>
              </w:rPr>
            </w:pPr>
            <w:r>
              <w:rPr>
                <w:rFonts w:ascii="方正书宋_GBK" w:hAnsi="Times New Roman" w:eastAsia="方正书宋_GBK"/>
                <w:szCs w:val="24"/>
              </w:rPr>
              <w:t>2</w:t>
            </w:r>
          </w:p>
        </w:tc>
        <w:tc>
          <w:tcPr>
            <w:tcW w:w="956" w:type="dxa"/>
            <w:vAlign w:val="center"/>
          </w:tcPr>
          <w:p>
            <w:pPr>
              <w:spacing w:line="300" w:lineRule="exact"/>
              <w:ind w:right="105"/>
              <w:jc w:val="right"/>
              <w:rPr>
                <w:rFonts w:ascii="Times New Roman" w:hAnsi="Times New Roman"/>
              </w:rPr>
            </w:pPr>
            <w:r>
              <w:rPr>
                <w:rFonts w:ascii="方正书宋_GBK" w:hAnsi="Times New Roman" w:eastAsia="方正书宋_GBK"/>
                <w:szCs w:val="24"/>
              </w:rPr>
              <w:t>2</w:t>
            </w:r>
          </w:p>
        </w:tc>
        <w:tc>
          <w:tcPr>
            <w:tcW w:w="956" w:type="dxa"/>
            <w:vAlign w:val="center"/>
          </w:tcPr>
          <w:p>
            <w:pPr>
              <w:spacing w:line="300" w:lineRule="exact"/>
              <w:ind w:right="105"/>
              <w:jc w:val="right"/>
              <w:rPr>
                <w:rFonts w:ascii="Times New Roman" w:hAnsi="Times New Roman"/>
              </w:rPr>
            </w:pPr>
            <w:r>
              <w:rPr>
                <w:rFonts w:ascii="方正书宋_GBK" w:hAnsi="Times New Roman" w:eastAsia="方正书宋_GBK"/>
                <w:szCs w:val="24"/>
              </w:rPr>
              <w:t>2</w:t>
            </w:r>
          </w:p>
        </w:tc>
        <w:tc>
          <w:tcPr>
            <w:tcW w:w="790" w:type="dxa"/>
            <w:vAlign w:val="center"/>
          </w:tcPr>
          <w:p>
            <w:pPr>
              <w:spacing w:line="584" w:lineRule="exact"/>
              <w:jc w:val="right"/>
              <w:rPr>
                <w:rFonts w:ascii="Times New Roman" w:hAnsi="Times New Roman"/>
              </w:rPr>
            </w:pPr>
          </w:p>
        </w:tc>
        <w:tc>
          <w:tcPr>
            <w:tcW w:w="924" w:type="dxa"/>
            <w:vAlign w:val="center"/>
          </w:tcPr>
          <w:p>
            <w:pPr>
              <w:spacing w:line="584" w:lineRule="exact"/>
              <w:jc w:val="right"/>
              <w:rPr>
                <w:rFonts w:ascii="Times New Roman" w:hAnsi="Times New Roman"/>
              </w:rPr>
            </w:pPr>
          </w:p>
        </w:tc>
        <w:tc>
          <w:tcPr>
            <w:tcW w:w="929" w:type="dxa"/>
            <w:vAlign w:val="center"/>
          </w:tcPr>
          <w:p>
            <w:pPr>
              <w:spacing w:line="584" w:lineRule="exact"/>
              <w:jc w:val="right"/>
              <w:rPr>
                <w:rFonts w:ascii="Times New Roman" w:hAnsi="Times New Roman"/>
              </w:rPr>
            </w:pPr>
          </w:p>
        </w:tc>
        <w:tc>
          <w:tcPr>
            <w:tcW w:w="880" w:type="dxa"/>
            <w:vAlign w:val="center"/>
          </w:tcPr>
          <w:p>
            <w:pPr>
              <w:spacing w:line="584" w:lineRule="exact"/>
              <w:jc w:val="right"/>
              <w:rPr>
                <w:rFonts w:ascii="Times New Roman" w:hAns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rPr>
            </w:pPr>
          </w:p>
        </w:tc>
        <w:tc>
          <w:tcPr>
            <w:tcW w:w="1057" w:type="dxa"/>
            <w:vAlign w:val="center"/>
          </w:tcPr>
          <w:p>
            <w:pPr>
              <w:spacing w:line="584" w:lineRule="exact"/>
              <w:jc w:val="right"/>
              <w:rPr>
                <w:rFonts w:ascii="Times New Roman" w:hAnsi="Times New Roman"/>
              </w:rPr>
            </w:pPr>
          </w:p>
        </w:tc>
        <w:tc>
          <w:tcPr>
            <w:tcW w:w="932" w:type="dxa"/>
            <w:vAlign w:val="center"/>
          </w:tcPr>
          <w:p>
            <w:pPr>
              <w:spacing w:line="584" w:lineRule="exact"/>
              <w:jc w:val="left"/>
              <w:rPr>
                <w:rFonts w:ascii="Times New Roman" w:hAnsi="Times New Roman"/>
              </w:rPr>
            </w:pPr>
          </w:p>
        </w:tc>
        <w:tc>
          <w:tcPr>
            <w:tcW w:w="1372" w:type="dxa"/>
            <w:vAlign w:val="center"/>
          </w:tcPr>
          <w:p>
            <w:pPr>
              <w:spacing w:line="584" w:lineRule="exact"/>
              <w:jc w:val="left"/>
              <w:rPr>
                <w:rFonts w:ascii="Times New Roman" w:hAnsi="Times New Roman"/>
              </w:rPr>
            </w:pPr>
          </w:p>
        </w:tc>
        <w:tc>
          <w:tcPr>
            <w:tcW w:w="720" w:type="dxa"/>
            <w:vAlign w:val="center"/>
          </w:tcPr>
          <w:p>
            <w:pPr>
              <w:spacing w:line="584" w:lineRule="exact"/>
              <w:jc w:val="left"/>
              <w:rPr>
                <w:rFonts w:ascii="Times New Roman" w:hAnsi="Times New Roman"/>
              </w:rPr>
            </w:pPr>
          </w:p>
        </w:tc>
        <w:tc>
          <w:tcPr>
            <w:tcW w:w="740" w:type="dxa"/>
            <w:vAlign w:val="center"/>
          </w:tcPr>
          <w:p>
            <w:pPr>
              <w:spacing w:line="584" w:lineRule="exact"/>
              <w:jc w:val="right"/>
              <w:rPr>
                <w:rFonts w:ascii="Times New Roman" w:hAnsi="Times New Roman"/>
              </w:rPr>
            </w:pPr>
          </w:p>
        </w:tc>
        <w:tc>
          <w:tcPr>
            <w:tcW w:w="950"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790" w:type="dxa"/>
            <w:vAlign w:val="center"/>
          </w:tcPr>
          <w:p>
            <w:pPr>
              <w:spacing w:line="584" w:lineRule="exact"/>
              <w:jc w:val="right"/>
              <w:rPr>
                <w:rFonts w:ascii="Times New Roman" w:hAnsi="Times New Roman"/>
              </w:rPr>
            </w:pPr>
          </w:p>
        </w:tc>
        <w:tc>
          <w:tcPr>
            <w:tcW w:w="924" w:type="dxa"/>
            <w:vAlign w:val="center"/>
          </w:tcPr>
          <w:p>
            <w:pPr>
              <w:spacing w:line="584" w:lineRule="exact"/>
              <w:jc w:val="right"/>
              <w:rPr>
                <w:rFonts w:ascii="Times New Roman" w:hAnsi="Times New Roman"/>
              </w:rPr>
            </w:pPr>
          </w:p>
        </w:tc>
        <w:tc>
          <w:tcPr>
            <w:tcW w:w="929" w:type="dxa"/>
            <w:vAlign w:val="center"/>
          </w:tcPr>
          <w:p>
            <w:pPr>
              <w:spacing w:line="584" w:lineRule="exact"/>
              <w:jc w:val="right"/>
              <w:rPr>
                <w:rFonts w:ascii="Times New Roman" w:hAnsi="Times New Roman"/>
              </w:rPr>
            </w:pPr>
          </w:p>
        </w:tc>
        <w:tc>
          <w:tcPr>
            <w:tcW w:w="880" w:type="dxa"/>
            <w:vAlign w:val="center"/>
          </w:tcPr>
          <w:p>
            <w:pPr>
              <w:spacing w:line="584" w:lineRule="exact"/>
              <w:jc w:val="right"/>
              <w:rPr>
                <w:rFonts w:ascii="Times New Roman" w:hAns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rPr>
            </w:pPr>
          </w:p>
        </w:tc>
        <w:tc>
          <w:tcPr>
            <w:tcW w:w="1057" w:type="dxa"/>
            <w:vAlign w:val="center"/>
          </w:tcPr>
          <w:p>
            <w:pPr>
              <w:spacing w:line="584" w:lineRule="exact"/>
              <w:jc w:val="right"/>
              <w:rPr>
                <w:rFonts w:ascii="Times New Roman" w:hAnsi="Times New Roman"/>
              </w:rPr>
            </w:pPr>
          </w:p>
        </w:tc>
        <w:tc>
          <w:tcPr>
            <w:tcW w:w="932" w:type="dxa"/>
            <w:vAlign w:val="center"/>
          </w:tcPr>
          <w:p>
            <w:pPr>
              <w:spacing w:line="584" w:lineRule="exact"/>
              <w:jc w:val="left"/>
              <w:rPr>
                <w:rFonts w:ascii="Times New Roman" w:hAnsi="Times New Roman"/>
              </w:rPr>
            </w:pPr>
          </w:p>
        </w:tc>
        <w:tc>
          <w:tcPr>
            <w:tcW w:w="1372" w:type="dxa"/>
            <w:vAlign w:val="center"/>
          </w:tcPr>
          <w:p>
            <w:pPr>
              <w:spacing w:line="584" w:lineRule="exact"/>
              <w:jc w:val="left"/>
              <w:rPr>
                <w:rFonts w:ascii="Times New Roman" w:hAnsi="Times New Roman"/>
              </w:rPr>
            </w:pPr>
          </w:p>
        </w:tc>
        <w:tc>
          <w:tcPr>
            <w:tcW w:w="720" w:type="dxa"/>
            <w:vAlign w:val="center"/>
          </w:tcPr>
          <w:p>
            <w:pPr>
              <w:spacing w:line="584" w:lineRule="exact"/>
              <w:jc w:val="left"/>
              <w:rPr>
                <w:rFonts w:ascii="Times New Roman" w:hAnsi="Times New Roman"/>
              </w:rPr>
            </w:pPr>
          </w:p>
        </w:tc>
        <w:tc>
          <w:tcPr>
            <w:tcW w:w="740" w:type="dxa"/>
            <w:vAlign w:val="center"/>
          </w:tcPr>
          <w:p>
            <w:pPr>
              <w:spacing w:line="584" w:lineRule="exact"/>
              <w:jc w:val="right"/>
              <w:rPr>
                <w:rFonts w:ascii="Times New Roman" w:hAnsi="Times New Roman"/>
              </w:rPr>
            </w:pPr>
          </w:p>
        </w:tc>
        <w:tc>
          <w:tcPr>
            <w:tcW w:w="950"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790" w:type="dxa"/>
            <w:vAlign w:val="center"/>
          </w:tcPr>
          <w:p>
            <w:pPr>
              <w:spacing w:line="584" w:lineRule="exact"/>
              <w:jc w:val="right"/>
              <w:rPr>
                <w:rFonts w:ascii="Times New Roman" w:hAnsi="Times New Roman"/>
              </w:rPr>
            </w:pPr>
          </w:p>
        </w:tc>
        <w:tc>
          <w:tcPr>
            <w:tcW w:w="924" w:type="dxa"/>
            <w:vAlign w:val="center"/>
          </w:tcPr>
          <w:p>
            <w:pPr>
              <w:spacing w:line="584" w:lineRule="exact"/>
              <w:jc w:val="right"/>
              <w:rPr>
                <w:rFonts w:ascii="Times New Roman" w:hAnsi="Times New Roman"/>
              </w:rPr>
            </w:pPr>
          </w:p>
        </w:tc>
        <w:tc>
          <w:tcPr>
            <w:tcW w:w="929" w:type="dxa"/>
            <w:vAlign w:val="center"/>
          </w:tcPr>
          <w:p>
            <w:pPr>
              <w:spacing w:line="584" w:lineRule="exact"/>
              <w:jc w:val="right"/>
              <w:rPr>
                <w:rFonts w:ascii="Times New Roman" w:hAnsi="Times New Roman"/>
              </w:rPr>
            </w:pPr>
          </w:p>
        </w:tc>
        <w:tc>
          <w:tcPr>
            <w:tcW w:w="880" w:type="dxa"/>
            <w:vAlign w:val="center"/>
          </w:tcPr>
          <w:p>
            <w:pPr>
              <w:spacing w:line="584" w:lineRule="exact"/>
              <w:jc w:val="right"/>
              <w:rPr>
                <w:rFonts w:ascii="Times New Roman" w:hAns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rPr>
            </w:pPr>
          </w:p>
        </w:tc>
        <w:tc>
          <w:tcPr>
            <w:tcW w:w="1057" w:type="dxa"/>
            <w:vAlign w:val="center"/>
          </w:tcPr>
          <w:p>
            <w:pPr>
              <w:spacing w:line="584" w:lineRule="exact"/>
              <w:jc w:val="right"/>
              <w:rPr>
                <w:rFonts w:ascii="Times New Roman" w:hAnsi="Times New Roman"/>
              </w:rPr>
            </w:pPr>
          </w:p>
        </w:tc>
        <w:tc>
          <w:tcPr>
            <w:tcW w:w="932" w:type="dxa"/>
            <w:vAlign w:val="center"/>
          </w:tcPr>
          <w:p>
            <w:pPr>
              <w:spacing w:line="584" w:lineRule="exact"/>
              <w:jc w:val="left"/>
              <w:rPr>
                <w:rFonts w:ascii="Times New Roman" w:hAnsi="Times New Roman"/>
              </w:rPr>
            </w:pPr>
          </w:p>
        </w:tc>
        <w:tc>
          <w:tcPr>
            <w:tcW w:w="1372" w:type="dxa"/>
            <w:vAlign w:val="center"/>
          </w:tcPr>
          <w:p>
            <w:pPr>
              <w:spacing w:line="584" w:lineRule="exact"/>
              <w:jc w:val="left"/>
              <w:rPr>
                <w:rFonts w:ascii="Times New Roman" w:hAnsi="Times New Roman"/>
              </w:rPr>
            </w:pPr>
          </w:p>
        </w:tc>
        <w:tc>
          <w:tcPr>
            <w:tcW w:w="720" w:type="dxa"/>
            <w:vAlign w:val="center"/>
          </w:tcPr>
          <w:p>
            <w:pPr>
              <w:spacing w:line="584" w:lineRule="exact"/>
              <w:jc w:val="left"/>
              <w:rPr>
                <w:rFonts w:ascii="Times New Roman" w:hAnsi="Times New Roman"/>
              </w:rPr>
            </w:pPr>
          </w:p>
        </w:tc>
        <w:tc>
          <w:tcPr>
            <w:tcW w:w="740" w:type="dxa"/>
            <w:vAlign w:val="center"/>
          </w:tcPr>
          <w:p>
            <w:pPr>
              <w:spacing w:line="584" w:lineRule="exact"/>
              <w:jc w:val="right"/>
              <w:rPr>
                <w:rFonts w:ascii="Times New Roman" w:hAnsi="Times New Roman"/>
              </w:rPr>
            </w:pPr>
          </w:p>
        </w:tc>
        <w:tc>
          <w:tcPr>
            <w:tcW w:w="950"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790" w:type="dxa"/>
            <w:vAlign w:val="center"/>
          </w:tcPr>
          <w:p>
            <w:pPr>
              <w:spacing w:line="584" w:lineRule="exact"/>
              <w:jc w:val="right"/>
              <w:rPr>
                <w:rFonts w:ascii="Times New Roman" w:hAnsi="Times New Roman"/>
              </w:rPr>
            </w:pPr>
          </w:p>
        </w:tc>
        <w:tc>
          <w:tcPr>
            <w:tcW w:w="924" w:type="dxa"/>
            <w:vAlign w:val="center"/>
          </w:tcPr>
          <w:p>
            <w:pPr>
              <w:spacing w:line="584" w:lineRule="exact"/>
              <w:jc w:val="right"/>
              <w:rPr>
                <w:rFonts w:ascii="Times New Roman" w:hAnsi="Times New Roman"/>
              </w:rPr>
            </w:pPr>
          </w:p>
        </w:tc>
        <w:tc>
          <w:tcPr>
            <w:tcW w:w="929" w:type="dxa"/>
            <w:vAlign w:val="center"/>
          </w:tcPr>
          <w:p>
            <w:pPr>
              <w:spacing w:line="584" w:lineRule="exact"/>
              <w:jc w:val="right"/>
              <w:rPr>
                <w:rFonts w:ascii="Times New Roman" w:hAnsi="Times New Roman"/>
              </w:rPr>
            </w:pPr>
          </w:p>
        </w:tc>
        <w:tc>
          <w:tcPr>
            <w:tcW w:w="880" w:type="dxa"/>
            <w:vAlign w:val="center"/>
          </w:tcPr>
          <w:p>
            <w:pPr>
              <w:spacing w:line="584" w:lineRule="exact"/>
              <w:jc w:val="right"/>
              <w:rPr>
                <w:rFonts w:ascii="Times New Roman" w:hAnsi="Times New Roman"/>
              </w:rPr>
            </w:pPr>
          </w:p>
        </w:tc>
      </w:tr>
    </w:tbl>
    <w:p>
      <w:pPr>
        <w:spacing w:line="584" w:lineRule="exact"/>
        <w:jc w:val="left"/>
        <w:outlineLvl w:val="0"/>
        <w:rPr>
          <w:rFonts w:ascii="Times New Roman" w:hAnsi="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Times New Roman" w:hAnsi="Times New Roman"/>
          <w:sz w:val="32"/>
          <w:szCs w:val="32"/>
        </w:rPr>
      </w:pPr>
      <w:r>
        <w:rPr>
          <w:rFonts w:hint="eastAsia" w:ascii="宋体" w:hAnsi="宋体" w:cs="宋体"/>
          <w:sz w:val="32"/>
          <w:szCs w:val="32"/>
        </w:rPr>
        <w:t>中共河北省大城县委办公室（含所属单位）上年末固定资产金额为</w:t>
      </w:r>
      <w:r>
        <w:rPr>
          <w:rFonts w:ascii="宋体" w:hAnsi="宋体" w:cs="宋体"/>
          <w:sz w:val="32"/>
          <w:szCs w:val="32"/>
        </w:rPr>
        <w:t>421.44224</w:t>
      </w:r>
      <w:r>
        <w:rPr>
          <w:rFonts w:hint="eastAsia" w:ascii="宋体" w:hAnsi="宋体" w:cs="宋体"/>
          <w:sz w:val="32"/>
          <w:szCs w:val="32"/>
        </w:rPr>
        <w:t>万元，详见下表。本年度我部门拟购置固定资产共计</w:t>
      </w:r>
      <w:r>
        <w:rPr>
          <w:rFonts w:ascii="Times New Roman" w:hAnsi="Times New Roman"/>
          <w:sz w:val="32"/>
          <w:szCs w:val="32"/>
        </w:rPr>
        <w:t>6.5</w:t>
      </w:r>
      <w:r>
        <w:rPr>
          <w:rFonts w:hint="eastAsia" w:ascii="宋体" w:hAnsi="宋体" w:cs="宋体"/>
          <w:sz w:val="32"/>
          <w:szCs w:val="32"/>
        </w:rPr>
        <w:t>万元，主要为计算机设备、复机机等（如：计算机设备、打印设备、空调、办公家具等），已列入政府采购预算，详见政府采购预算表。</w:t>
      </w:r>
    </w:p>
    <w:p>
      <w:pPr>
        <w:spacing w:line="584" w:lineRule="exact"/>
        <w:ind w:firstLine="640"/>
        <w:rPr>
          <w:rFonts w:ascii="Times New Roman" w:hAnsi="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b/>
                <w:bCs/>
                <w:kern w:val="0"/>
                <w:sz w:val="32"/>
                <w:szCs w:val="32"/>
              </w:rPr>
            </w:pPr>
            <w:r>
              <w:rPr>
                <w:rFonts w:hint="eastAsia" w:ascii="宋体" w:hAnsi="宋体" w:cs="宋体"/>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kern w:val="0"/>
                <w:sz w:val="22"/>
              </w:rPr>
            </w:pPr>
            <w:r>
              <w:rPr>
                <w:rFonts w:hint="eastAsia" w:ascii="宋体" w:hAnsi="宋体" w:cs="宋体"/>
                <w:kern w:val="0"/>
                <w:sz w:val="22"/>
              </w:rPr>
              <w:t>编制部门：中共河北省大城县委办公室</w:t>
            </w:r>
          </w:p>
        </w:tc>
        <w:tc>
          <w:tcPr>
            <w:tcW w:w="5103" w:type="dxa"/>
            <w:tcBorders>
              <w:top w:val="nil"/>
              <w:left w:val="nil"/>
              <w:bottom w:val="nil"/>
              <w:right w:val="nil"/>
            </w:tcBorders>
            <w:vAlign w:val="center"/>
          </w:tcPr>
          <w:p>
            <w:pPr>
              <w:widowControl/>
              <w:spacing w:line="584" w:lineRule="exact"/>
              <w:jc w:val="left"/>
              <w:rPr>
                <w:rFonts w:ascii="Times New Roman" w:hAnsi="Times New Roman"/>
                <w:kern w:val="0"/>
                <w:sz w:val="22"/>
              </w:rPr>
            </w:pPr>
            <w:r>
              <w:rPr>
                <w:rFonts w:hint="eastAsia" w:ascii="宋体" w:hAnsi="宋体" w:cs="宋体"/>
                <w:kern w:val="0"/>
                <w:sz w:val="22"/>
              </w:rPr>
              <w:t>截止时间：</w:t>
            </w:r>
            <w:r>
              <w:rPr>
                <w:rFonts w:ascii="Times New Roman" w:hAnsi="Times New Roman"/>
                <w:kern w:val="0"/>
                <w:sz w:val="22"/>
              </w:rPr>
              <w:t>2018</w:t>
            </w:r>
            <w:r>
              <w:rPr>
                <w:rFonts w:hint="eastAsia" w:ascii="宋体" w:hAnsi="宋体" w:cs="宋体"/>
                <w:kern w:val="0"/>
                <w:sz w:val="22"/>
              </w:rPr>
              <w:t>年</w:t>
            </w:r>
            <w:r>
              <w:rPr>
                <w:rFonts w:ascii="Times New Roman" w:hAnsi="Times New Roman"/>
                <w:kern w:val="0"/>
                <w:sz w:val="22"/>
              </w:rPr>
              <w:t>12</w:t>
            </w:r>
            <w:r>
              <w:rPr>
                <w:rFonts w:hint="eastAsia" w:ascii="宋体" w:hAnsi="宋体" w:cs="宋体"/>
                <w:kern w:val="0"/>
                <w:sz w:val="22"/>
              </w:rPr>
              <w:t>月</w:t>
            </w:r>
            <w:r>
              <w:rPr>
                <w:rFonts w:ascii="Times New Roman" w:hAnsi="Times New Roman"/>
                <w:kern w:val="0"/>
                <w:sz w:val="22"/>
              </w:rPr>
              <w:t>31</w:t>
            </w:r>
            <w:r>
              <w:rPr>
                <w:rFonts w:hint="eastAsia" w:ascii="宋体" w:hAnsi="宋体" w:cs="宋体"/>
                <w:kern w:val="0"/>
                <w:sz w:val="22"/>
              </w:rPr>
              <w:t>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b/>
                <w:bCs/>
                <w:kern w:val="0"/>
                <w:sz w:val="22"/>
              </w:rPr>
            </w:pPr>
            <w:r>
              <w:rPr>
                <w:rFonts w:hint="eastAsia" w:ascii="宋体" w:hAnsi="宋体" w:cs="宋体"/>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r>
              <w:rPr>
                <w:rFonts w:ascii="Times New Roman" w:hAnsi="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kern w:val="0"/>
                <w:sz w:val="22"/>
              </w:rPr>
            </w:pPr>
            <w:r>
              <w:rPr>
                <w:rFonts w:ascii="Times New Roman" w:hAnsi="Times New Roman"/>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kern w:val="0"/>
                <w:sz w:val="22"/>
              </w:rPr>
            </w:pP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kern w:val="0"/>
                <w:sz w:val="22"/>
              </w:rPr>
            </w:pPr>
            <w:r>
              <w:rPr>
                <w:rFonts w:ascii="Times New Roman" w:hAnsi="Times New Roman"/>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r>
              <w:rPr>
                <w:rFonts w:ascii="Times New Roman" w:hAnsi="Times New Roman"/>
                <w:sz w:val="22"/>
              </w:rPr>
              <w:t>209.1341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kern w:val="0"/>
                <w:sz w:val="22"/>
              </w:rPr>
            </w:pPr>
            <w:r>
              <w:rPr>
                <w:rFonts w:ascii="Times New Roman" w:hAnsi="Times New Roman"/>
                <w:kern w:val="0"/>
                <w:sz w:val="22"/>
              </w:rPr>
              <w:t>3</w:t>
            </w:r>
            <w:r>
              <w:rPr>
                <w:rFonts w:hint="eastAsia" w:ascii="宋体" w:hAnsi="宋体" w:cs="宋体"/>
                <w:kern w:val="0"/>
                <w:sz w:val="22"/>
              </w:rPr>
              <w:t>、单价在</w:t>
            </w:r>
            <w:r>
              <w:rPr>
                <w:rFonts w:ascii="Times New Roman" w:hAnsi="Times New Roman"/>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kern w:val="0"/>
                <w:sz w:val="22"/>
              </w:rPr>
            </w:pPr>
            <w:r>
              <w:rPr>
                <w:rFonts w:ascii="Times New Roman" w:hAnsi="Times New Roman"/>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r>
              <w:rPr>
                <w:rFonts w:ascii="Times New Roman" w:hAnsi="Times New Roman"/>
                <w:sz w:val="22"/>
              </w:rPr>
              <w:t>212.30814</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1</w:t>
      </w:r>
      <w:r>
        <w:rPr>
          <w:rFonts w:hint="eastAsia" w:ascii="宋体" w:hAnsi="宋体" w:cs="宋体"/>
          <w:b/>
          <w:sz w:val="32"/>
          <w:szCs w:val="32"/>
        </w:rPr>
        <w:t>、一般公共预算拨款收入：</w:t>
      </w:r>
      <w:r>
        <w:rPr>
          <w:rFonts w:hint="eastAsia" w:ascii="宋体" w:hAnsi="宋体" w:cs="宋体"/>
          <w:sz w:val="32"/>
          <w:szCs w:val="32"/>
        </w:rPr>
        <w:t>指市级财政当年拨付的资金。</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2</w:t>
      </w:r>
      <w:r>
        <w:rPr>
          <w:rFonts w:hint="eastAsia" w:ascii="宋体" w:hAnsi="宋体" w:cs="宋体"/>
          <w:b/>
          <w:sz w:val="32"/>
          <w:szCs w:val="32"/>
        </w:rPr>
        <w:t>、事业收入：</w:t>
      </w:r>
      <w:r>
        <w:rPr>
          <w:rFonts w:hint="eastAsia" w:ascii="宋体" w:hAnsi="宋体" w:cs="宋体"/>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b/>
          <w:sz w:val="32"/>
          <w:szCs w:val="32"/>
        </w:rPr>
      </w:pPr>
      <w:r>
        <w:rPr>
          <w:rFonts w:ascii="Times New Roman" w:hAnsi="Times New Roman"/>
          <w:b/>
          <w:sz w:val="32"/>
          <w:szCs w:val="32"/>
        </w:rPr>
        <w:t>3</w:t>
      </w:r>
      <w:r>
        <w:rPr>
          <w:rFonts w:hint="eastAsia" w:ascii="宋体" w:hAnsi="宋体" w:cs="宋体"/>
          <w:b/>
          <w:sz w:val="32"/>
          <w:szCs w:val="32"/>
        </w:rPr>
        <w:t>、其他收入：</w:t>
      </w:r>
      <w:r>
        <w:rPr>
          <w:rFonts w:hint="eastAsia" w:ascii="宋体" w:hAnsi="宋体" w:cs="宋体"/>
          <w:sz w:val="32"/>
          <w:szCs w:val="32"/>
        </w:rPr>
        <w:t>指除</w:t>
      </w:r>
      <w:r>
        <w:rPr>
          <w:rFonts w:ascii="Times New Roman" w:hAnsi="Times New Roman"/>
          <w:sz w:val="32"/>
          <w:szCs w:val="32"/>
        </w:rPr>
        <w:t>“</w:t>
      </w:r>
      <w:r>
        <w:rPr>
          <w:rFonts w:hint="eastAsia" w:ascii="宋体" w:hAnsi="宋体" w:cs="宋体"/>
          <w:sz w:val="32"/>
          <w:szCs w:val="32"/>
        </w:rPr>
        <w:t>一般公共预算拨款收入</w:t>
      </w:r>
      <w:r>
        <w:rPr>
          <w:rFonts w:ascii="Times New Roman" w:hAnsi="Times New Roman"/>
          <w:sz w:val="32"/>
          <w:szCs w:val="32"/>
        </w:rPr>
        <w:t>”</w:t>
      </w:r>
      <w:r>
        <w:rPr>
          <w:rFonts w:hint="eastAsia" w:ascii="宋体" w:hAnsi="宋体" w:cs="宋体"/>
          <w:sz w:val="32"/>
          <w:szCs w:val="32"/>
        </w:rPr>
        <w:t>、</w:t>
      </w:r>
      <w:r>
        <w:rPr>
          <w:rFonts w:ascii="Times New Roman" w:hAnsi="Times New Roman"/>
          <w:sz w:val="32"/>
          <w:szCs w:val="32"/>
        </w:rPr>
        <w:t>“</w:t>
      </w:r>
      <w:r>
        <w:rPr>
          <w:rFonts w:hint="eastAsia" w:ascii="宋体" w:hAnsi="宋体" w:cs="宋体"/>
          <w:sz w:val="32"/>
          <w:szCs w:val="32"/>
        </w:rPr>
        <w:t>事业收入</w:t>
      </w:r>
      <w:r>
        <w:rPr>
          <w:rFonts w:ascii="Times New Roman" w:hAnsi="Times New Roman"/>
          <w:sz w:val="32"/>
          <w:szCs w:val="32"/>
        </w:rPr>
        <w:t>”</w:t>
      </w:r>
      <w:r>
        <w:rPr>
          <w:rFonts w:hint="eastAsia" w:ascii="宋体" w:hAnsi="宋体" w:cs="宋体"/>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4</w:t>
      </w:r>
      <w:r>
        <w:rPr>
          <w:rFonts w:hint="eastAsia" w:ascii="宋体" w:hAnsi="宋体" w:cs="宋体"/>
          <w:b/>
          <w:sz w:val="32"/>
          <w:szCs w:val="32"/>
        </w:rPr>
        <w:t>、基本支出：</w:t>
      </w:r>
      <w:r>
        <w:rPr>
          <w:rFonts w:hint="eastAsia" w:ascii="宋体" w:hAnsi="宋体" w:cs="宋体"/>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5</w:t>
      </w:r>
      <w:r>
        <w:rPr>
          <w:rFonts w:hint="eastAsia" w:ascii="宋体" w:hAnsi="宋体" w:cs="宋体"/>
          <w:b/>
          <w:sz w:val="32"/>
          <w:szCs w:val="32"/>
        </w:rPr>
        <w:t>、项目支出：</w:t>
      </w:r>
      <w:r>
        <w:rPr>
          <w:rFonts w:hint="eastAsia" w:ascii="宋体" w:hAnsi="宋体" w:cs="宋体"/>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6</w:t>
      </w:r>
      <w:r>
        <w:rPr>
          <w:rFonts w:hint="eastAsia" w:ascii="宋体" w:hAnsi="宋体" w:cs="宋体"/>
          <w:b/>
          <w:sz w:val="32"/>
          <w:szCs w:val="32"/>
        </w:rPr>
        <w:t>、上缴上级支出：</w:t>
      </w:r>
      <w:r>
        <w:rPr>
          <w:rFonts w:hint="eastAsia" w:ascii="宋体" w:hAnsi="宋体" w:cs="宋体"/>
          <w:sz w:val="32"/>
          <w:szCs w:val="32"/>
        </w:rPr>
        <w:t>指下级单位上缴上级的支出。</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7</w:t>
      </w:r>
      <w:r>
        <w:rPr>
          <w:rFonts w:hint="eastAsia" w:ascii="宋体" w:hAnsi="宋体" w:cs="宋体"/>
          <w:b/>
          <w:sz w:val="32"/>
          <w:szCs w:val="32"/>
        </w:rPr>
        <w:t>、</w:t>
      </w:r>
      <w:r>
        <w:rPr>
          <w:rFonts w:ascii="Times New Roman" w:hAnsi="Times New Roman"/>
          <w:b/>
          <w:sz w:val="32"/>
          <w:szCs w:val="32"/>
        </w:rPr>
        <w:t>“</w:t>
      </w:r>
      <w:r>
        <w:rPr>
          <w:rFonts w:hint="eastAsia" w:ascii="宋体" w:hAnsi="宋体" w:cs="宋体"/>
          <w:b/>
          <w:sz w:val="32"/>
          <w:szCs w:val="32"/>
        </w:rPr>
        <w:t>三公</w:t>
      </w:r>
      <w:r>
        <w:rPr>
          <w:rFonts w:ascii="Times New Roman" w:hAnsi="Times New Roman"/>
          <w:b/>
          <w:sz w:val="32"/>
          <w:szCs w:val="32"/>
        </w:rPr>
        <w:t>”</w:t>
      </w:r>
      <w:r>
        <w:rPr>
          <w:rFonts w:hint="eastAsia" w:ascii="宋体" w:hAnsi="宋体" w:cs="宋体"/>
          <w:b/>
          <w:sz w:val="32"/>
          <w:szCs w:val="32"/>
        </w:rPr>
        <w:t>经费：</w:t>
      </w:r>
      <w:r>
        <w:rPr>
          <w:rFonts w:hint="eastAsia" w:ascii="宋体" w:hAnsi="宋体" w:cs="宋体"/>
          <w:sz w:val="32"/>
          <w:szCs w:val="32"/>
        </w:rPr>
        <w:t>纳入市级财政预算管理的</w:t>
      </w:r>
      <w:r>
        <w:rPr>
          <w:rFonts w:ascii="Times New Roman" w:hAnsi="Times New Roman"/>
          <w:sz w:val="32"/>
          <w:szCs w:val="32"/>
        </w:rPr>
        <w:t>“</w:t>
      </w:r>
      <w:r>
        <w:rPr>
          <w:rFonts w:hint="eastAsia" w:ascii="宋体" w:hAnsi="宋体" w:cs="宋体"/>
          <w:sz w:val="32"/>
          <w:szCs w:val="32"/>
        </w:rPr>
        <w:t>三公</w:t>
      </w:r>
      <w:r>
        <w:rPr>
          <w:rFonts w:ascii="Times New Roman" w:hAnsi="Times New Roman"/>
          <w:sz w:val="32"/>
          <w:szCs w:val="32"/>
        </w:rPr>
        <w:t>”</w:t>
      </w:r>
      <w:r>
        <w:rPr>
          <w:rFonts w:hint="eastAsia" w:ascii="宋体" w:hAnsi="宋体" w:cs="宋体"/>
          <w:sz w:val="32"/>
          <w:szCs w:val="32"/>
        </w:rPr>
        <w:t>经费，是指市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8</w:t>
      </w:r>
      <w:r>
        <w:rPr>
          <w:rFonts w:hint="eastAsia" w:ascii="宋体" w:hAnsi="宋体" w:cs="宋体"/>
          <w:b/>
          <w:sz w:val="32"/>
          <w:szCs w:val="32"/>
        </w:rPr>
        <w:t>、机关运行费：</w:t>
      </w:r>
      <w:r>
        <w:rPr>
          <w:rFonts w:hint="eastAsia" w:ascii="宋体" w:hAnsi="宋体" w:cs="宋体"/>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9</w:t>
      </w:r>
      <w:r>
        <w:rPr>
          <w:rFonts w:hint="eastAsia" w:ascii="宋体" w:hAnsi="宋体" w:cs="宋体"/>
          <w:b/>
          <w:sz w:val="32"/>
          <w:szCs w:val="32"/>
        </w:rPr>
        <w:t>、上年结转：</w:t>
      </w:r>
      <w:r>
        <w:rPr>
          <w:rFonts w:hint="eastAsia" w:ascii="宋体" w:hAnsi="宋体" w:cs="宋体"/>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10</w:t>
      </w:r>
      <w:r>
        <w:rPr>
          <w:rFonts w:hint="eastAsia" w:ascii="宋体" w:hAnsi="宋体" w:cs="宋体"/>
          <w:b/>
          <w:sz w:val="32"/>
          <w:szCs w:val="32"/>
        </w:rPr>
        <w:t>、事业单位经营支出：</w:t>
      </w:r>
      <w:r>
        <w:rPr>
          <w:rFonts w:hint="eastAsia" w:ascii="宋体" w:hAnsi="宋体" w:cs="宋体"/>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sz w:val="32"/>
          <w:szCs w:val="32"/>
        </w:rPr>
      </w:pPr>
      <w:r>
        <w:rPr>
          <w:rFonts w:hint="eastAsia" w:ascii="宋体" w:hAnsi="宋体" w:cs="宋体"/>
          <w:sz w:val="32"/>
          <w:szCs w:val="32"/>
        </w:rPr>
        <w:t>我部门无其他需要说明的事项。</w:t>
      </w:r>
    </w:p>
    <w:p>
      <w:pPr>
        <w:spacing w:line="584" w:lineRule="exact"/>
        <w:ind w:firstLine="640" w:firstLineChars="200"/>
        <w:rPr>
          <w:rFonts w:ascii="Times New Roman" w:hAnsi="Times New Roman"/>
          <w:sz w:val="32"/>
          <w:szCs w:val="32"/>
        </w:rPr>
      </w:pPr>
    </w:p>
    <w:p>
      <w:pPr>
        <w:spacing w:line="584" w:lineRule="exact"/>
        <w:rPr>
          <w:rFonts w:ascii="Times New Roman" w:hAnsi="Times New Roman"/>
          <w:sz w:val="32"/>
          <w:szCs w:val="32"/>
        </w:rPr>
      </w:pPr>
    </w:p>
    <w:p>
      <w:pPr>
        <w:spacing w:line="584" w:lineRule="exact"/>
        <w:ind w:firstLine="643" w:firstLineChars="200"/>
        <w:rPr>
          <w:rFonts w:ascii="Times New Roman" w:hAnsi="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4</w:t>
    </w:r>
    <w:r>
      <w:rPr>
        <w:lang w:val="zh-CN"/>
      </w:rPr>
      <w:fldChar w:fldCharType="end"/>
    </w:r>
    <w: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MjE1MmU0MWUzOTNjZjZiOGVlMjZlNmRjZDZjNGMifQ=="/>
  </w:docVars>
  <w:rsids>
    <w:rsidRoot w:val="00F66032"/>
    <w:rsid w:val="000053CC"/>
    <w:rsid w:val="00010564"/>
    <w:rsid w:val="0002386C"/>
    <w:rsid w:val="00037AF6"/>
    <w:rsid w:val="00040FB7"/>
    <w:rsid w:val="000410F2"/>
    <w:rsid w:val="0004565F"/>
    <w:rsid w:val="00070D46"/>
    <w:rsid w:val="00072187"/>
    <w:rsid w:val="00075D5F"/>
    <w:rsid w:val="0008180F"/>
    <w:rsid w:val="00093DA3"/>
    <w:rsid w:val="000A125B"/>
    <w:rsid w:val="000A1FC1"/>
    <w:rsid w:val="000B529B"/>
    <w:rsid w:val="000C0419"/>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B2154"/>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7458F"/>
    <w:rsid w:val="003874EF"/>
    <w:rsid w:val="003B472D"/>
    <w:rsid w:val="003B6D37"/>
    <w:rsid w:val="003C7F80"/>
    <w:rsid w:val="00405995"/>
    <w:rsid w:val="00414BD3"/>
    <w:rsid w:val="00424943"/>
    <w:rsid w:val="0042727E"/>
    <w:rsid w:val="0043175C"/>
    <w:rsid w:val="00437296"/>
    <w:rsid w:val="00451590"/>
    <w:rsid w:val="00451871"/>
    <w:rsid w:val="004706DE"/>
    <w:rsid w:val="00472923"/>
    <w:rsid w:val="00486DCD"/>
    <w:rsid w:val="0049120C"/>
    <w:rsid w:val="004B0C3A"/>
    <w:rsid w:val="004B3980"/>
    <w:rsid w:val="004C49A8"/>
    <w:rsid w:val="004D5788"/>
    <w:rsid w:val="004E3066"/>
    <w:rsid w:val="004E419C"/>
    <w:rsid w:val="004E74CD"/>
    <w:rsid w:val="004F05E7"/>
    <w:rsid w:val="00512820"/>
    <w:rsid w:val="00524EFD"/>
    <w:rsid w:val="00554F4B"/>
    <w:rsid w:val="00572067"/>
    <w:rsid w:val="00573562"/>
    <w:rsid w:val="00590ECE"/>
    <w:rsid w:val="005B3F56"/>
    <w:rsid w:val="005C0E90"/>
    <w:rsid w:val="005C7414"/>
    <w:rsid w:val="005D0C27"/>
    <w:rsid w:val="005D348E"/>
    <w:rsid w:val="005D37CA"/>
    <w:rsid w:val="005E23EF"/>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A16DA"/>
    <w:rsid w:val="007B49AA"/>
    <w:rsid w:val="007C219A"/>
    <w:rsid w:val="007E1DA8"/>
    <w:rsid w:val="007F0BFC"/>
    <w:rsid w:val="007F1335"/>
    <w:rsid w:val="007F6C26"/>
    <w:rsid w:val="00800B4F"/>
    <w:rsid w:val="00800F72"/>
    <w:rsid w:val="00811795"/>
    <w:rsid w:val="00813208"/>
    <w:rsid w:val="00815157"/>
    <w:rsid w:val="008220AF"/>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1204"/>
    <w:rsid w:val="008B3CC5"/>
    <w:rsid w:val="008B52CD"/>
    <w:rsid w:val="008C7C4D"/>
    <w:rsid w:val="008E0F79"/>
    <w:rsid w:val="008E4261"/>
    <w:rsid w:val="008E70D4"/>
    <w:rsid w:val="008F4662"/>
    <w:rsid w:val="0090563F"/>
    <w:rsid w:val="00905D08"/>
    <w:rsid w:val="00906672"/>
    <w:rsid w:val="0091788E"/>
    <w:rsid w:val="00925753"/>
    <w:rsid w:val="00937F8B"/>
    <w:rsid w:val="009425F4"/>
    <w:rsid w:val="00943BD8"/>
    <w:rsid w:val="00954B2C"/>
    <w:rsid w:val="00966C5C"/>
    <w:rsid w:val="00973104"/>
    <w:rsid w:val="009842F6"/>
    <w:rsid w:val="00984E14"/>
    <w:rsid w:val="00986A8E"/>
    <w:rsid w:val="00995BF0"/>
    <w:rsid w:val="009A16D5"/>
    <w:rsid w:val="009A353D"/>
    <w:rsid w:val="009B0B77"/>
    <w:rsid w:val="009B511E"/>
    <w:rsid w:val="009B5215"/>
    <w:rsid w:val="009C6C86"/>
    <w:rsid w:val="009D37D3"/>
    <w:rsid w:val="00A16E6C"/>
    <w:rsid w:val="00A323D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22EC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93EBD"/>
    <w:rsid w:val="00DA76CB"/>
    <w:rsid w:val="00DB4322"/>
    <w:rsid w:val="00DD1D0C"/>
    <w:rsid w:val="00DE186D"/>
    <w:rsid w:val="00DE6118"/>
    <w:rsid w:val="00E167C7"/>
    <w:rsid w:val="00E32E4D"/>
    <w:rsid w:val="00E55B78"/>
    <w:rsid w:val="00E76361"/>
    <w:rsid w:val="00E84020"/>
    <w:rsid w:val="00E906B2"/>
    <w:rsid w:val="00EA1AE9"/>
    <w:rsid w:val="00EB6481"/>
    <w:rsid w:val="00EB7A80"/>
    <w:rsid w:val="00EC47F6"/>
    <w:rsid w:val="00EE6D6D"/>
    <w:rsid w:val="00EF08C9"/>
    <w:rsid w:val="00EF535E"/>
    <w:rsid w:val="00F471F7"/>
    <w:rsid w:val="00F63081"/>
    <w:rsid w:val="00F66032"/>
    <w:rsid w:val="00F83B96"/>
    <w:rsid w:val="00F8441D"/>
    <w:rsid w:val="00F87C1E"/>
    <w:rsid w:val="00F958C2"/>
    <w:rsid w:val="00FA740E"/>
    <w:rsid w:val="00FC06C7"/>
    <w:rsid w:val="00FD5DB4"/>
    <w:rsid w:val="00FD676E"/>
    <w:rsid w:val="00FE1724"/>
    <w:rsid w:val="00FE5FBF"/>
    <w:rsid w:val="00FE753C"/>
    <w:rsid w:val="00FF2346"/>
    <w:rsid w:val="0E105B52"/>
    <w:rsid w:val="14356ACB"/>
    <w:rsid w:val="18091DCC"/>
    <w:rsid w:val="1F9E163B"/>
    <w:rsid w:val="21AA4A7C"/>
    <w:rsid w:val="27D2104E"/>
    <w:rsid w:val="2D9C77DE"/>
    <w:rsid w:val="300A6232"/>
    <w:rsid w:val="33931C72"/>
    <w:rsid w:val="44DB6F02"/>
    <w:rsid w:val="454B5319"/>
    <w:rsid w:val="4E5B17AA"/>
    <w:rsid w:val="64B07613"/>
    <w:rsid w:val="7A8B2A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qFormat/>
    <w:uiPriority w:val="99"/>
    <w:rPr>
      <w:rFonts w:ascii="Times New Roman" w:hAnsi="Times New Roman"/>
      <w:szCs w:val="24"/>
    </w:rPr>
  </w:style>
  <w:style w:type="paragraph" w:styleId="6">
    <w:name w:val="footnote text"/>
    <w:basedOn w:val="1"/>
    <w:link w:val="14"/>
    <w:qFormat/>
    <w:uiPriority w:val="99"/>
    <w:pPr>
      <w:snapToGrid w:val="0"/>
      <w:jc w:val="left"/>
    </w:pPr>
    <w:rPr>
      <w:sz w:val="18"/>
      <w:szCs w:val="18"/>
    </w:rPr>
  </w:style>
  <w:style w:type="paragraph" w:styleId="7">
    <w:name w:val="toc 2"/>
    <w:basedOn w:val="1"/>
    <w:next w:val="1"/>
    <w:autoRedefine/>
    <w:qFormat/>
    <w:uiPriority w:val="99"/>
    <w:pPr>
      <w:ind w:left="420" w:leftChars="200"/>
    </w:pPr>
    <w:rPr>
      <w:rFonts w:ascii="Times New Roman" w:hAnsi="Times New Roman"/>
      <w:szCs w:val="24"/>
    </w:rPr>
  </w:style>
  <w:style w:type="character" w:styleId="10">
    <w:name w:val="footnote reference"/>
    <w:basedOn w:val="9"/>
    <w:autoRedefine/>
    <w:qFormat/>
    <w:uiPriority w:val="99"/>
    <w:rPr>
      <w:rFonts w:cs="Times New Roman"/>
      <w:vertAlign w:val="superscript"/>
    </w:rPr>
  </w:style>
  <w:style w:type="character" w:customStyle="1" w:styleId="11">
    <w:name w:val="Balloon Text Char"/>
    <w:basedOn w:val="9"/>
    <w:link w:val="2"/>
    <w:semiHidden/>
    <w:qFormat/>
    <w:locked/>
    <w:uiPriority w:val="99"/>
    <w:rPr>
      <w:rFonts w:cs="Times New Roman"/>
      <w:sz w:val="18"/>
      <w:szCs w:val="18"/>
    </w:rPr>
  </w:style>
  <w:style w:type="character" w:customStyle="1" w:styleId="12">
    <w:name w:val="Footer Char"/>
    <w:basedOn w:val="9"/>
    <w:link w:val="3"/>
    <w:autoRedefine/>
    <w:qFormat/>
    <w:locked/>
    <w:uiPriority w:val="99"/>
    <w:rPr>
      <w:rFonts w:ascii="Times New Roman" w:hAnsi="Times New Roman" w:eastAsia="宋体" w:cs="Times New Roman"/>
      <w:sz w:val="18"/>
      <w:szCs w:val="18"/>
    </w:rPr>
  </w:style>
  <w:style w:type="character" w:customStyle="1" w:styleId="13">
    <w:name w:val="Header Char"/>
    <w:basedOn w:val="9"/>
    <w:link w:val="4"/>
    <w:autoRedefine/>
    <w:qFormat/>
    <w:locked/>
    <w:uiPriority w:val="99"/>
    <w:rPr>
      <w:rFonts w:ascii="Times New Roman" w:hAnsi="Times New Roman" w:eastAsia="宋体" w:cs="Times New Roman"/>
      <w:sz w:val="18"/>
      <w:szCs w:val="18"/>
    </w:rPr>
  </w:style>
  <w:style w:type="character" w:customStyle="1" w:styleId="14">
    <w:name w:val="Footnote Text Char"/>
    <w:basedOn w:val="9"/>
    <w:link w:val="6"/>
    <w:autoRedefine/>
    <w:semiHidden/>
    <w:qFormat/>
    <w:locked/>
    <w:uiPriority w:val="99"/>
    <w:rPr>
      <w:rFonts w:ascii="Calibri" w:hAnsi="Calibri" w:eastAsia="宋体" w:cs="Times New Roman"/>
      <w:sz w:val="18"/>
      <w:szCs w:val="18"/>
    </w:rPr>
  </w:style>
  <w:style w:type="paragraph" w:customStyle="1" w:styleId="15">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6">
    <w:name w:val="[Normal]"/>
    <w:qFormat/>
    <w:uiPriority w:val="99"/>
    <w:rPr>
      <w:rFonts w:ascii="宋体" w:hAnsi="宋体" w:eastAsia="宋体" w:cs="Times New Roman"/>
      <w:kern w:val="0"/>
      <w:sz w:val="24"/>
      <w:szCs w:val="20"/>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17</Pages>
  <Words>6192</Words>
  <Characters>6633</Characters>
  <Lines>0</Lines>
  <Paragraphs>0</Paragraphs>
  <TotalTime>31</TotalTime>
  <ScaleCrop>false</ScaleCrop>
  <LinksUpToDate>false</LinksUpToDate>
  <CharactersWithSpaces>6709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2019-03-01T07:41:00Z</dcterms:created>
  <dc:creator>guest</dc:creator>
  <cp:lastModifiedBy>开心就好</cp:lastModifiedBy>
  <cp:lastPrinted>2019-03-04T08:02:00Z</cp:lastPrinted>
  <dcterms:modified xsi:type="dcterms:W3CDTF">2024-05-20T02:11:45Z</dcterms:modified>
  <dc:title>大城县委办公室2019年部门预算信息公开情况说明</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FF9A01DB31CF4FF2B9DF332BA5C5D907_13</vt:lpwstr>
  </property>
</Properties>
</file>