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中共河北省大城县委宣传部</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6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按照《中华人民共和国预算法》、《中华人民共和国预算法实施条例》、《地方预决算公开操作规程》和《河北省省级预算公开办法》规定，现将中共河北省大城县委宣传部2021年部门预算公开如下：</w:t>
      </w:r>
    </w:p>
    <w:p>
      <w:pPr>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6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rPr>
        <w:t>主要职责</w:t>
      </w:r>
      <w:r>
        <w:rPr>
          <w:rFonts w:hint="eastAsia" w:ascii="楷体" w:hAnsi="楷体" w:eastAsia="楷体" w:cs="楷体"/>
          <w:b/>
          <w:bCs/>
          <w:sz w:val="32"/>
          <w:szCs w:val="32"/>
          <w:lang w:val="en-US" w:eastAsia="zh-CN"/>
        </w:rPr>
        <w:t>:</w:t>
      </w:r>
    </w:p>
    <w:p>
      <w:pPr>
        <w:spacing w:line="64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中共河北省大城县委宣传部是县委主管意识形态方面工作的工作机关。</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（一）拟订全县宣传思想文化工作重大方针政策和事业发展总体规划，统筹协调推进宣传思想文化领域法治建设，按照县委统一部署，协调宣传思想文化系统各部门之间的工作；</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（二）统筹协调全县党的意识形态工作，贯彻落实县委关于意识形态工作决策部署，组织协调意识形态工作责任制落实和日 常监督检查，结合巡察工作开展专项检查；</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（三）统筹指导协调全县理论研究、理论学习、理论宣传工作，组织推动理论武装工作，推动落实马克思主义理论研究和建设工程任务，负责县委理论学习中心组理论学习的有关工作；</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 负责全县国防教育工作；</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（五）统筹分析研判和引导全县社会舆论，指导协调县内各新闻单位的工作，组织全县突发公共事件应急新闻工作。承担县突发公共事件应急新闻办公室日常工作；</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（六）拟订全县新闻出版业的管理政策并督促落实，管理新闻出版行政事务，统筹规划和指导协调新闻出版事业、产业发展， 协助做好出版物内容和质量的监督管理，监督管理印刷发行业， 管理著作权等。组织指导协调全县“扫黄打非”工作；</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（七）从宏观上统筹指导协调全县互联网宣传和信息内容管理工作。统筹数字新媒体的建设和管理；</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（八）从宏观上统筹指导协调推动全县精神文化产品的创作和生产，协调组织中华优秀传统文化传承发展有关工作，指导 协调推动群众文化建设；</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（九）负责管理全县电影行政事务，指导监管电影制片、发行、放映工作，组织对电影内容进行审查，指导协调全县性重大 电影活动；</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对全县新闻出版、广播影视、文化艺术业改革发展研究提出政策性建议，统筹指导协调文化体制改革和文化事业、文化产业及旅游业发展，负责县级文化企业国有资产监督管理。承担县文化体制改革和发展工作领导小组办公室日常工作；</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（十一）统</w:t>
      </w:r>
      <w:r>
        <w:rPr>
          <w:rFonts w:hint="eastAsia" w:ascii="仿宋_GB2312" w:hAnsi="Times New Roman" w:eastAsia="仿宋_GB2312" w:cs="Times New Roman"/>
          <w:sz w:val="32"/>
          <w:szCs w:val="32"/>
          <w:lang w:val="en-US" w:eastAsia="zh-CN"/>
        </w:rPr>
        <w:t>筹</w:t>
      </w:r>
      <w:bookmarkStart w:id="3" w:name="_GoBack"/>
      <w:bookmarkEnd w:id="3"/>
      <w:r>
        <w:rPr>
          <w:rFonts w:hint="eastAsia" w:ascii="仿宋_GB2312" w:hAnsi="Times New Roman" w:eastAsia="仿宋_GB2312" w:cs="Times New Roman"/>
          <w:sz w:val="32"/>
          <w:szCs w:val="32"/>
        </w:rPr>
        <w:t>指导全县舆情信息工作，组织协调开展省市内外舆情信息收集分析研判工作，跟踪了解、研究掌握宣传舆情动态；</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（十二）统筹研究拟定有关全县精神文明建设的方针、政策。规划部署全县精神文明建设工作，组织指导全县群众性精神文明创建活动，会同有关部门统筹推进全县新时代文明实践中心建设；</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（十三）统筹协调全县对外宣传工作。指导协调有关部门研究拟订全县对外宣传事业发展规划，组织协调我县对外宣传文化交流工作，会同有关部门做好境外记者采访事务方面工作；</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（十四）统筹协调组织开展新闻发布工作。承担县委新闻发布有关组织协调工作，负责县政府新闻发布组织实施工作。指导 协调县政府各部门和各镇、大城经济开发区的新闻发布工作，推动新闻发言人制度落实。拟订我县重大问题对外宣传口径；</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五）统筹指导协调全县哲学社会科学发展工作。组织制定发展战略、中长期规划和专项计划。负责组织开展县级新型智库建设工作，协调推动全县中国特色新型智库建设。组织哲学社会科学研究课题成果转化应用工作；</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（十六）受县委委托，会同县委组织部管理新闻、文化、出版、社会科学研究和互联网信息等方面县直宣传文化单位的领导 干部。对各镇党委宣传委员的任免提出意见，负责有关重要宣传 舆论阵地和重要岗位领导干部管理工作，负责组织开展宣传思想文化系统干部教育培训和人才工作；</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（十七）对县委互联网信息办公室互联网宣传和信息内容 管理方面的工作实施方针、政策的指导。归口领导县文化广电和旅游局、大城县广播电视台、大城县融煤体中心。受县委委托， 代管县文联；</w:t>
      </w:r>
    </w:p>
    <w:p>
      <w:pPr>
        <w:spacing w:line="6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（十八）完成县委交办的其他任务。</w:t>
      </w:r>
    </w:p>
    <w:p>
      <w:pPr>
        <w:spacing w:line="640" w:lineRule="exact"/>
        <w:ind w:firstLine="640" w:firstLineChars="200"/>
        <w:rPr>
          <w:rFonts w:hint="eastAsia" w:ascii="仿宋_GB2312" w:hAnsi="Times New Roman" w:eastAsia="仿宋_GB2312" w:cs="Times New Roman"/>
          <w:sz w:val="32"/>
          <w:szCs w:val="32"/>
        </w:rPr>
      </w:pPr>
    </w:p>
    <w:p>
      <w:pPr>
        <w:spacing w:line="64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机构设置：</w:t>
      </w:r>
    </w:p>
    <w:p>
      <w:pPr>
        <w:spacing w:line="640"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4443" w:type="dxa"/>
            <w:vMerge w:val="restart"/>
            <w:shd w:val="clear" w:color="auto" w:fill="auto"/>
            <w:vAlign w:val="center"/>
          </w:tcPr>
          <w:p>
            <w:pPr>
              <w:spacing w:line="64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64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64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64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4443" w:type="dxa"/>
            <w:vMerge w:val="continue"/>
            <w:shd w:val="clear" w:color="auto" w:fill="auto"/>
            <w:vAlign w:val="center"/>
          </w:tcPr>
          <w:p>
            <w:pPr>
              <w:spacing w:line="640" w:lineRule="exact"/>
            </w:pPr>
          </w:p>
        </w:tc>
        <w:tc>
          <w:tcPr>
            <w:tcW w:w="1134" w:type="dxa"/>
            <w:vMerge w:val="continue"/>
            <w:shd w:val="clear" w:color="auto" w:fill="auto"/>
            <w:vAlign w:val="center"/>
          </w:tcPr>
          <w:p>
            <w:pPr>
              <w:spacing w:line="640" w:lineRule="exact"/>
            </w:pPr>
          </w:p>
        </w:tc>
        <w:tc>
          <w:tcPr>
            <w:tcW w:w="1276" w:type="dxa"/>
            <w:vMerge w:val="continue"/>
            <w:shd w:val="clear" w:color="auto" w:fill="auto"/>
            <w:vAlign w:val="center"/>
          </w:tcPr>
          <w:p>
            <w:pPr>
              <w:spacing w:line="640" w:lineRule="exact"/>
            </w:pPr>
          </w:p>
        </w:tc>
        <w:tc>
          <w:tcPr>
            <w:tcW w:w="2902" w:type="dxa"/>
            <w:vMerge w:val="continue"/>
            <w:shd w:val="clear" w:color="auto" w:fill="auto"/>
            <w:vAlign w:val="center"/>
          </w:tcPr>
          <w:p>
            <w:pPr>
              <w:spacing w:line="64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640" w:lineRule="exact"/>
              <w:jc w:val="center"/>
              <w:rPr>
                <w:rFonts w:ascii="Times New Roman" w:hAnsi="Times New Roman" w:eastAsia="仿宋_GB2312" w:cs="Times New Roman"/>
                <w:b/>
              </w:rPr>
            </w:pPr>
            <w:r>
              <w:rPr>
                <w:rFonts w:hint="eastAsia" w:ascii="Times New Roman" w:hAnsi="Times New Roman" w:eastAsia="仿宋_GB2312" w:cs="Times New Roman"/>
                <w:b/>
              </w:rPr>
              <w:t>中共河北省大城县委宣传部</w:t>
            </w:r>
          </w:p>
        </w:tc>
        <w:tc>
          <w:tcPr>
            <w:tcW w:w="1134" w:type="dxa"/>
            <w:shd w:val="clear" w:color="auto" w:fill="auto"/>
            <w:vAlign w:val="center"/>
          </w:tcPr>
          <w:p>
            <w:pPr>
              <w:spacing w:line="640" w:lineRule="exact"/>
              <w:jc w:val="center"/>
              <w:rPr>
                <w:rFonts w:ascii="Times New Roman" w:hAnsi="Times New Roman" w:eastAsia="仿宋_GB2312" w:cs="Times New Roman"/>
                <w:b/>
              </w:rPr>
            </w:pPr>
            <w:r>
              <w:rPr>
                <w:rFonts w:hint="eastAsia" w:ascii="Times New Roman" w:hAnsi="Times New Roman" w:eastAsia="仿宋_GB2312" w:cs="Times New Roman"/>
                <w:b/>
              </w:rPr>
              <w:t>行政机关</w:t>
            </w:r>
          </w:p>
        </w:tc>
        <w:tc>
          <w:tcPr>
            <w:tcW w:w="1276" w:type="dxa"/>
            <w:shd w:val="clear" w:color="auto" w:fill="auto"/>
            <w:vAlign w:val="center"/>
          </w:tcPr>
          <w:p>
            <w:pPr>
              <w:spacing w:line="640"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640"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640" w:lineRule="exact"/>
        <w:ind w:firstLine="640" w:firstLineChars="200"/>
        <w:rPr>
          <w:rFonts w:ascii="Times New Roman" w:hAnsi="Times New Roman" w:eastAsia="黑体" w:cs="Times New Roman"/>
          <w:sz w:val="32"/>
          <w:szCs w:val="32"/>
        </w:rPr>
      </w:pPr>
    </w:p>
    <w:p>
      <w:pPr>
        <w:spacing w:line="640" w:lineRule="exact"/>
        <w:ind w:firstLine="640" w:firstLineChars="200"/>
        <w:rPr>
          <w:rFonts w:ascii="Times New Roman" w:hAnsi="Times New Roman" w:eastAsia="黑体" w:cs="Times New Roman"/>
          <w:sz w:val="32"/>
          <w:szCs w:val="32"/>
        </w:rPr>
      </w:pPr>
    </w:p>
    <w:p>
      <w:pPr>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中共河北省大城县委宣传部</w:t>
      </w:r>
      <w:r>
        <w:rPr>
          <w:rFonts w:ascii="Times New Roman" w:hAnsi="Times New Roman" w:eastAsia="仿宋_GB2312" w:cs="Times New Roman"/>
          <w:sz w:val="32"/>
          <w:szCs w:val="32"/>
        </w:rPr>
        <w:t>机关及所属事业单位的收支包含在部门预算中。</w:t>
      </w:r>
    </w:p>
    <w:p>
      <w:pPr>
        <w:spacing w:line="640"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64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反映本部门当年全部收入。2021年预算收入41</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.92万元，其中：一般公共预算收入41</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.92万元，基金预算收入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万元，财政专户核拨收入0万元，其他来源收入0万元，上年结转</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万元。</w:t>
      </w:r>
    </w:p>
    <w:p>
      <w:pPr>
        <w:spacing w:line="640"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64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收支预算总表支出栏、基本支出表、项目支出表按经济分类和支出功能分类科目编制，反映我</w:t>
      </w:r>
      <w:r>
        <w:rPr>
          <w:rFonts w:hint="eastAsia" w:ascii="仿宋_GB2312" w:hAnsi="Times New Roman" w:eastAsia="仿宋_GB2312" w:cs="Times New Roman"/>
          <w:sz w:val="32"/>
          <w:szCs w:val="32"/>
          <w:lang w:eastAsia="zh-CN"/>
        </w:rPr>
        <w:t>部</w:t>
      </w:r>
      <w:r>
        <w:rPr>
          <w:rFonts w:hint="eastAsia" w:ascii="仿宋_GB2312" w:hAnsi="Times New Roman" w:eastAsia="仿宋_GB2312" w:cs="Times New Roman"/>
          <w:sz w:val="32"/>
          <w:szCs w:val="32"/>
        </w:rPr>
        <w:t>2021年度部门预算中支出预算的总体情况。2021年支出预算41</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.92万元，其中基本支出238.83万元，包括人员类项目经费215.23万元和运转类公用项目经费23.60万元；运转类其他及特定目标类项目支出17</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.09万元，包括本级支出，主要为外宣经费、《新大城》报社印刷费、社会主义</w:t>
      </w:r>
      <w:r>
        <w:rPr>
          <w:rFonts w:hint="eastAsia" w:ascii="仿宋_GB2312" w:hAnsi="Times New Roman" w:eastAsia="仿宋_GB2312" w:cs="Times New Roman"/>
          <w:sz w:val="32"/>
          <w:szCs w:val="32"/>
          <w:lang w:eastAsia="zh-CN"/>
        </w:rPr>
        <w:t>核心</w:t>
      </w:r>
      <w:r>
        <w:rPr>
          <w:rFonts w:hint="eastAsia" w:ascii="仿宋_GB2312" w:hAnsi="Times New Roman" w:eastAsia="仿宋_GB2312" w:cs="Times New Roman"/>
          <w:sz w:val="32"/>
          <w:szCs w:val="32"/>
        </w:rPr>
        <w:t>价值观引导等专项项目支出。</w:t>
      </w:r>
    </w:p>
    <w:p>
      <w:pPr>
        <w:spacing w:line="640"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64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2021年预算收支安排41</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.92万元，较2020年预算减少301.53万元，其中：基本支出减少13.70万元，主要为人员经费、日常公用经费支出较上年减少；项目支出减少28</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.83万元，主要为</w:t>
      </w:r>
      <w:r>
        <w:rPr>
          <w:rFonts w:hint="eastAsia" w:ascii="仿宋_GB2312" w:hAnsi="Times New Roman" w:eastAsia="仿宋_GB2312" w:cs="Times New Roman"/>
          <w:sz w:val="32"/>
          <w:szCs w:val="32"/>
          <w:lang w:val="en-US" w:eastAsia="zh-CN"/>
        </w:rPr>
        <w:t>厉</w:t>
      </w:r>
      <w:r>
        <w:rPr>
          <w:rFonts w:hint="eastAsia" w:ascii="仿宋_GB2312" w:hAnsi="Times New Roman" w:eastAsia="仿宋_GB2312" w:cs="Times New Roman"/>
          <w:sz w:val="32"/>
          <w:szCs w:val="32"/>
        </w:rPr>
        <w:t>行节约、压减项目支出。</w:t>
      </w:r>
    </w:p>
    <w:p>
      <w:pPr>
        <w:autoSpaceDE w:val="0"/>
        <w:autoSpaceDN w:val="0"/>
        <w:adjustRightInd w:val="0"/>
        <w:spacing w:line="640"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640"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23.60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本部门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640"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640" w:lineRule="exact"/>
        <w:ind w:left="197" w:leftChars="94"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2021年，我</w:t>
      </w:r>
      <w:r>
        <w:rPr>
          <w:rFonts w:hint="eastAsia" w:ascii="仿宋_GB2312" w:hAnsi="Times New Roman" w:eastAsia="仿宋_GB2312" w:cs="Times New Roman"/>
          <w:sz w:val="32"/>
          <w:szCs w:val="32"/>
          <w:lang w:eastAsia="zh-CN"/>
        </w:rPr>
        <w:t>部</w:t>
      </w:r>
      <w:r>
        <w:rPr>
          <w:rFonts w:hint="eastAsia" w:ascii="仿宋_GB2312" w:hAnsi="Times New Roman" w:eastAsia="仿宋_GB2312" w:cs="Times New Roman"/>
          <w:sz w:val="32"/>
          <w:szCs w:val="32"/>
        </w:rPr>
        <w:t>财政拨款“三公”经费预算安排6万元。其中，因公出国（境）费0万元；公务用车购置及运维费6万元（其中：公务用车购置费为0万元，公务用车运维费6万元)；公务接待费0万元。与2020年相比减少1.5万元，其中，公务用车购置及运维费减少1.5万元（其中：公务用车购置费增减0万元，公务用车运维费减少1.5万元)，主要原因是我部门切实落实勤俭节约各项规定，压减公车运行经费支出；公务接待费0万元，与2020年相比持平，无增减变化。</w:t>
      </w:r>
    </w:p>
    <w:p>
      <w:pPr>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6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640" w:lineRule="exact"/>
        <w:ind w:firstLine="643"/>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640" w:lineRule="exact"/>
        <w:ind w:firstLine="643"/>
        <w:rPr>
          <w:rFonts w:ascii="仿宋_GB2312" w:eastAsia="仿宋_GB2312"/>
          <w:sz w:val="32"/>
          <w:szCs w:val="32"/>
        </w:rPr>
      </w:pPr>
      <w:r>
        <w:rPr>
          <w:rFonts w:hint="eastAsia" w:ascii="仿宋_GB2312" w:eastAsia="仿宋_GB2312"/>
          <w:sz w:val="32"/>
          <w:szCs w:val="32"/>
        </w:rPr>
        <w:t>拟订全县宣传思想文化工作重大方针政策和事业发展总体规划，统筹协调推进宣传思想文化领域法治建设，按照县委统一部署，协调宣传思想文化系统各部门之间的工作。统筹协调全县党的意识形态工作，贯彻落实县委关于意识形态工作决策部署，组织协调意识形态工作责任制落实和日常监督检查，结合巡察工作开展专项检查。统筹指导协调全县理论研究、理论学习、理论宣传工作，组织推动理论武装工作，推动落实马克思主义理论研究和建设工程任务，负责县委理论学习中心组理论学习的有关工作。</w:t>
      </w:r>
    </w:p>
    <w:p>
      <w:pPr>
        <w:spacing w:line="640"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6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（一） 宣传思想工作</w:t>
      </w:r>
    </w:p>
    <w:p>
      <w:pPr>
        <w:spacing w:line="6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绩效目标：牢牢掌握意识形态工作领导权、管理权、话语权、弘扬旋律，汇集正能量，为全县经济社会发展提供有力的思想保证、精神动力、舆论支持。</w:t>
      </w:r>
    </w:p>
    <w:p>
      <w:pPr>
        <w:spacing w:line="6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绩效指标：统筹研究我县对外传播能力建设工作,协调推动对外宣传有关重大活动;组织协调对外宣传品的策划、制作与发行,指导全县对外宣传有关工作。</w:t>
      </w:r>
    </w:p>
    <w:p>
      <w:pPr>
        <w:spacing w:line="6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（二）推动文化发展</w:t>
      </w:r>
    </w:p>
    <w:p>
      <w:pPr>
        <w:spacing w:line="6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 ：进一步解放和发展文化生产力，推动全县文化事业和文化健康发展。加大对文化产业、事业的支持力度。</w:t>
      </w:r>
    </w:p>
    <w:p>
      <w:pPr>
        <w:spacing w:line="6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绩效指标：负责对全县文化艺术工作的宏观指导协调和文艺队伍建设,组织协调文艺产品创作生产的引导和管理;指导推动协调公益性群众文化建设。</w:t>
      </w:r>
    </w:p>
    <w:p>
      <w:pPr>
        <w:spacing w:line="640"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一）完善制度建设。成立预算绩效管理领导小组、完善预算绩效管理制度、资金管理办法、工作保障制度等，建立统筹协调、分工协作、密切配合、合力推进的工作机制，建立健全制度体系，确保全年预算绩效目标的有效实现。</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（二）加强支出管理。通过优化支出结构、编细编实预算、加快履行政府采购手续、尽快启动项目、及时支付资金、6月底前细化代编预算、按规定及时下达资金等多种措施，确保支出进度达标。</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（三）加强绩效运行监控。按要求开展绩效运行监控，发现问题及时采取措施，确保绩效目标如期保质实现。</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四）做好绩效自评。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（五）规范财务资产管理。完善财务管理制度，严格审批程序，加强固定资产登记、使用和报废处置管理，做到支出合理，物尽其用。</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六）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overflowPunct w:val="0"/>
        <w:adjustRightInd w:val="0"/>
        <w:snapToGrid w:val="0"/>
        <w:spacing w:afterLines="50" w:line="64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七）加强宣传培训调研等。加强人员培训，提高本部门职工业务素质；加强调研，提出优化财政资金配置、提高资金使用效益的意见；加大宣传力度，强化预算绩效管理意识，促进预算绩效管理水平进一步提高。</w:t>
      </w:r>
    </w:p>
    <w:p>
      <w:pPr>
        <w:overflowPunct w:val="0"/>
        <w:adjustRightInd w:val="0"/>
        <w:snapToGrid w:val="0"/>
        <w:spacing w:afterLines="50" w:line="640" w:lineRule="exact"/>
        <w:ind w:firstLine="627" w:firstLineChars="196"/>
        <w:jc w:val="left"/>
        <w:rPr>
          <w:rFonts w:hint="eastAsia" w:ascii="仿宋_GB2312" w:eastAsia="仿宋_GB2312" w:cs="Times New Roman"/>
          <w:sz w:val="32"/>
          <w:szCs w:val="32"/>
        </w:rPr>
      </w:pPr>
    </w:p>
    <w:p>
      <w:pPr>
        <w:overflowPunct w:val="0"/>
        <w:adjustRightInd w:val="0"/>
        <w:snapToGrid w:val="0"/>
        <w:spacing w:afterLines="50" w:line="640" w:lineRule="exact"/>
        <w:ind w:firstLine="627" w:firstLineChars="196"/>
        <w:jc w:val="left"/>
        <w:rPr>
          <w:rFonts w:hint="eastAsia" w:ascii="仿宋_GB2312" w:eastAsia="仿宋_GB2312" w:cs="Times New Roman"/>
          <w:sz w:val="32"/>
          <w:szCs w:val="32"/>
        </w:rPr>
      </w:pPr>
    </w:p>
    <w:p>
      <w:pPr>
        <w:overflowPunct w:val="0"/>
        <w:adjustRightInd w:val="0"/>
        <w:snapToGrid w:val="0"/>
        <w:spacing w:afterLines="50" w:line="640" w:lineRule="exact"/>
        <w:ind w:firstLine="627" w:firstLineChars="196"/>
        <w:jc w:val="left"/>
        <w:rPr>
          <w:rFonts w:hint="eastAsia" w:ascii="仿宋_GB2312" w:eastAsia="仿宋_GB2312" w:cs="Times New Roman"/>
          <w:sz w:val="32"/>
          <w:szCs w:val="32"/>
        </w:rPr>
      </w:pPr>
    </w:p>
    <w:p>
      <w:pPr>
        <w:overflowPunct w:val="0"/>
        <w:adjustRightInd w:val="0"/>
        <w:snapToGrid w:val="0"/>
        <w:spacing w:afterLines="50" w:line="640" w:lineRule="exact"/>
        <w:ind w:firstLine="627" w:firstLineChars="196"/>
        <w:jc w:val="left"/>
        <w:rPr>
          <w:rFonts w:hint="eastAsia" w:ascii="仿宋_GB2312" w:eastAsia="仿宋_GB2312" w:cs="Times New Roman"/>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4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2126"/>
        <w:gridCol w:w="1547"/>
        <w:gridCol w:w="1831"/>
        <w:gridCol w:w="1984"/>
        <w:gridCol w:w="709"/>
        <w:gridCol w:w="741"/>
        <w:gridCol w:w="1551"/>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4" w:type="dxa"/>
            <w:vMerge w:val="restart"/>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一级指标</w:t>
            </w:r>
          </w:p>
        </w:tc>
        <w:tc>
          <w:tcPr>
            <w:tcW w:w="2126" w:type="dxa"/>
            <w:vMerge w:val="restart"/>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二级指标</w:t>
            </w:r>
          </w:p>
        </w:tc>
        <w:tc>
          <w:tcPr>
            <w:tcW w:w="1547" w:type="dxa"/>
            <w:vMerge w:val="restar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三级指标</w:t>
            </w:r>
          </w:p>
        </w:tc>
        <w:tc>
          <w:tcPr>
            <w:tcW w:w="1831" w:type="dxa"/>
            <w:vMerge w:val="restar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绩效指标描述</w:t>
            </w:r>
          </w:p>
        </w:tc>
        <w:tc>
          <w:tcPr>
            <w:tcW w:w="1984" w:type="dxa"/>
            <w:vMerge w:val="restart"/>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评（扣）分标准</w:t>
            </w:r>
          </w:p>
        </w:tc>
        <w:tc>
          <w:tcPr>
            <w:tcW w:w="3001" w:type="dxa"/>
            <w:gridSpan w:val="3"/>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指标值</w:t>
            </w:r>
          </w:p>
        </w:tc>
        <w:tc>
          <w:tcPr>
            <w:tcW w:w="1799" w:type="dxa"/>
            <w:vMerge w:val="restar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4" w:type="dxa"/>
            <w:vMerge w:val="continue"/>
            <w:vAlign w:val="center"/>
          </w:tcPr>
          <w:p>
            <w:pPr>
              <w:widowControl/>
              <w:jc w:val="left"/>
              <w:rPr>
                <w:rFonts w:ascii="仿宋_GB2312" w:hAnsi="宋体" w:eastAsia="仿宋_GB2312" w:cs="宋体"/>
                <w:b/>
                <w:bCs/>
                <w:kern w:val="0"/>
                <w:szCs w:val="21"/>
              </w:rPr>
            </w:pPr>
          </w:p>
        </w:tc>
        <w:tc>
          <w:tcPr>
            <w:tcW w:w="2126" w:type="dxa"/>
            <w:vMerge w:val="continue"/>
            <w:vAlign w:val="center"/>
          </w:tcPr>
          <w:p>
            <w:pPr>
              <w:widowControl/>
              <w:jc w:val="left"/>
              <w:rPr>
                <w:rFonts w:ascii="仿宋_GB2312" w:hAnsi="宋体" w:eastAsia="仿宋_GB2312" w:cs="宋体"/>
                <w:b/>
                <w:bCs/>
                <w:kern w:val="0"/>
                <w:szCs w:val="21"/>
              </w:rPr>
            </w:pPr>
          </w:p>
        </w:tc>
        <w:tc>
          <w:tcPr>
            <w:tcW w:w="1547" w:type="dxa"/>
            <w:vMerge w:val="continue"/>
            <w:vAlign w:val="center"/>
          </w:tcPr>
          <w:p>
            <w:pPr>
              <w:widowControl/>
              <w:jc w:val="left"/>
              <w:rPr>
                <w:rFonts w:ascii="仿宋_GB2312" w:hAnsi="宋体" w:eastAsia="仿宋_GB2312" w:cs="宋体"/>
                <w:b/>
                <w:bCs/>
                <w:kern w:val="0"/>
                <w:szCs w:val="21"/>
              </w:rPr>
            </w:pPr>
          </w:p>
        </w:tc>
        <w:tc>
          <w:tcPr>
            <w:tcW w:w="1831" w:type="dxa"/>
            <w:vMerge w:val="continue"/>
            <w:vAlign w:val="center"/>
          </w:tcPr>
          <w:p>
            <w:pPr>
              <w:widowControl/>
              <w:jc w:val="left"/>
              <w:rPr>
                <w:rFonts w:ascii="仿宋_GB2312" w:hAnsi="宋体" w:eastAsia="仿宋_GB2312" w:cs="宋体"/>
                <w:b/>
                <w:bCs/>
                <w:kern w:val="0"/>
                <w:szCs w:val="21"/>
              </w:rPr>
            </w:pPr>
          </w:p>
        </w:tc>
        <w:tc>
          <w:tcPr>
            <w:tcW w:w="1984" w:type="dxa"/>
            <w:vMerge w:val="continue"/>
            <w:vAlign w:val="center"/>
          </w:tcPr>
          <w:p>
            <w:pPr>
              <w:widowControl/>
              <w:jc w:val="left"/>
              <w:rPr>
                <w:rFonts w:ascii="仿宋_GB2312" w:hAnsi="宋体" w:eastAsia="仿宋_GB2312" w:cs="宋体"/>
                <w:b/>
                <w:bCs/>
                <w:kern w:val="0"/>
                <w:szCs w:val="21"/>
              </w:rPr>
            </w:pPr>
          </w:p>
        </w:tc>
        <w:tc>
          <w:tcPr>
            <w:tcW w:w="709" w:type="dxa"/>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符号</w:t>
            </w:r>
          </w:p>
        </w:tc>
        <w:tc>
          <w:tcPr>
            <w:tcW w:w="741" w:type="dxa"/>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值</w:t>
            </w:r>
          </w:p>
        </w:tc>
        <w:tc>
          <w:tcPr>
            <w:tcW w:w="1551" w:type="dxa"/>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单位（文字描述）</w:t>
            </w:r>
          </w:p>
        </w:tc>
        <w:tc>
          <w:tcPr>
            <w:tcW w:w="1799" w:type="dxa"/>
            <w:vMerge w:val="continue"/>
            <w:vAlign w:val="center"/>
          </w:tcPr>
          <w:p>
            <w:pPr>
              <w:widowControl/>
              <w:jc w:val="left"/>
              <w:rPr>
                <w:rFonts w:ascii="仿宋_GB2312" w:hAnsi="宋体"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44" w:type="dxa"/>
            <w:vMerge w:val="restart"/>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产出指标</w:t>
            </w:r>
          </w:p>
        </w:tc>
        <w:tc>
          <w:tcPr>
            <w:tcW w:w="212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54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稿件数量及电影播放</w:t>
            </w:r>
          </w:p>
        </w:tc>
        <w:tc>
          <w:tcPr>
            <w:tcW w:w="183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稿件数量及电影播放</w:t>
            </w:r>
          </w:p>
        </w:tc>
        <w:tc>
          <w:tcPr>
            <w:tcW w:w="1984" w:type="dxa"/>
            <w:shd w:val="clear" w:color="auto" w:fill="auto"/>
            <w:noWrap/>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741"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95.00</w:t>
            </w:r>
          </w:p>
        </w:tc>
        <w:tc>
          <w:tcPr>
            <w:tcW w:w="155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规定次数完成率95%</w:t>
            </w:r>
          </w:p>
        </w:tc>
        <w:tc>
          <w:tcPr>
            <w:tcW w:w="1799"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44" w:type="dxa"/>
            <w:vMerge w:val="continue"/>
            <w:vAlign w:val="center"/>
          </w:tcPr>
          <w:p>
            <w:pPr>
              <w:widowControl/>
              <w:jc w:val="left"/>
              <w:rPr>
                <w:rFonts w:ascii="仿宋_GB2312" w:hAnsi="宋体" w:eastAsia="仿宋_GB2312" w:cs="宋体"/>
                <w:b/>
                <w:bCs/>
                <w:kern w:val="0"/>
                <w:szCs w:val="21"/>
              </w:rPr>
            </w:pPr>
          </w:p>
        </w:tc>
        <w:tc>
          <w:tcPr>
            <w:tcW w:w="212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54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实施正常</w:t>
            </w:r>
          </w:p>
        </w:tc>
        <w:tc>
          <w:tcPr>
            <w:tcW w:w="183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实施情况</w:t>
            </w:r>
          </w:p>
        </w:tc>
        <w:tc>
          <w:tcPr>
            <w:tcW w:w="1984" w:type="dxa"/>
            <w:shd w:val="clear" w:color="auto" w:fill="auto"/>
            <w:noWrap/>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741" w:type="dxa"/>
            <w:shd w:val="clear" w:color="auto" w:fill="auto"/>
            <w:noWrap/>
            <w:vAlign w:val="center"/>
          </w:tcPr>
          <w:p>
            <w:pPr>
              <w:widowControl/>
              <w:jc w:val="right"/>
              <w:rPr>
                <w:rFonts w:hint="eastAsia" w:ascii="仿宋_GB2312" w:hAnsi="宋体" w:eastAsia="仿宋_GB2312" w:cs="宋体"/>
                <w:kern w:val="0"/>
                <w:szCs w:val="21"/>
              </w:rPr>
            </w:pPr>
          </w:p>
        </w:tc>
        <w:tc>
          <w:tcPr>
            <w:tcW w:w="155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正常</w:t>
            </w:r>
          </w:p>
        </w:tc>
        <w:tc>
          <w:tcPr>
            <w:tcW w:w="1799"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44" w:type="dxa"/>
            <w:vMerge w:val="continue"/>
            <w:vAlign w:val="center"/>
          </w:tcPr>
          <w:p>
            <w:pPr>
              <w:widowControl/>
              <w:jc w:val="left"/>
              <w:rPr>
                <w:rFonts w:ascii="仿宋_GB2312" w:hAnsi="宋体" w:eastAsia="仿宋_GB2312" w:cs="宋体"/>
                <w:b/>
                <w:bCs/>
                <w:kern w:val="0"/>
                <w:szCs w:val="21"/>
              </w:rPr>
            </w:pPr>
          </w:p>
        </w:tc>
        <w:tc>
          <w:tcPr>
            <w:tcW w:w="212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54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及时完成</w:t>
            </w:r>
          </w:p>
        </w:tc>
        <w:tc>
          <w:tcPr>
            <w:tcW w:w="183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2021年12月前完成</w:t>
            </w:r>
          </w:p>
        </w:tc>
        <w:tc>
          <w:tcPr>
            <w:tcW w:w="1984" w:type="dxa"/>
            <w:shd w:val="clear" w:color="auto" w:fill="auto"/>
            <w:noWrap/>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741" w:type="dxa"/>
            <w:shd w:val="clear" w:color="auto" w:fill="auto"/>
            <w:noWrap/>
            <w:vAlign w:val="center"/>
          </w:tcPr>
          <w:p>
            <w:pPr>
              <w:widowControl/>
              <w:jc w:val="right"/>
              <w:rPr>
                <w:rFonts w:hint="eastAsia" w:ascii="仿宋_GB2312" w:hAnsi="宋体" w:eastAsia="仿宋_GB2312" w:cs="宋体"/>
                <w:kern w:val="0"/>
                <w:szCs w:val="21"/>
              </w:rPr>
            </w:pPr>
          </w:p>
        </w:tc>
        <w:tc>
          <w:tcPr>
            <w:tcW w:w="155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及时</w:t>
            </w:r>
          </w:p>
        </w:tc>
        <w:tc>
          <w:tcPr>
            <w:tcW w:w="1799"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44" w:type="dxa"/>
            <w:vMerge w:val="continue"/>
            <w:vAlign w:val="center"/>
          </w:tcPr>
          <w:p>
            <w:pPr>
              <w:widowControl/>
              <w:jc w:val="left"/>
              <w:rPr>
                <w:rFonts w:ascii="仿宋_GB2312" w:hAnsi="宋体" w:eastAsia="仿宋_GB2312" w:cs="宋体"/>
                <w:b/>
                <w:bCs/>
                <w:kern w:val="0"/>
                <w:szCs w:val="21"/>
              </w:rPr>
            </w:pPr>
          </w:p>
        </w:tc>
        <w:tc>
          <w:tcPr>
            <w:tcW w:w="212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54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成本控制</w:t>
            </w:r>
          </w:p>
        </w:tc>
        <w:tc>
          <w:tcPr>
            <w:tcW w:w="183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控制在预算额度内</w:t>
            </w:r>
          </w:p>
        </w:tc>
        <w:tc>
          <w:tcPr>
            <w:tcW w:w="1984" w:type="dxa"/>
            <w:shd w:val="clear" w:color="auto" w:fill="auto"/>
            <w:noWrap/>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741" w:type="dxa"/>
            <w:shd w:val="clear" w:color="auto" w:fill="auto"/>
            <w:noWrap/>
            <w:vAlign w:val="center"/>
          </w:tcPr>
          <w:p>
            <w:pPr>
              <w:widowControl/>
              <w:jc w:val="right"/>
              <w:rPr>
                <w:rFonts w:hint="eastAsia" w:ascii="仿宋_GB2312" w:hAnsi="宋体" w:eastAsia="仿宋_GB2312" w:cs="宋体"/>
                <w:kern w:val="0"/>
                <w:szCs w:val="21"/>
              </w:rPr>
            </w:pPr>
          </w:p>
        </w:tc>
        <w:tc>
          <w:tcPr>
            <w:tcW w:w="155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预算额度内</w:t>
            </w:r>
          </w:p>
        </w:tc>
        <w:tc>
          <w:tcPr>
            <w:tcW w:w="1799"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44" w:type="dxa"/>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效益指标</w:t>
            </w:r>
          </w:p>
        </w:tc>
        <w:tc>
          <w:tcPr>
            <w:tcW w:w="212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54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对群众的宣传力度</w:t>
            </w:r>
          </w:p>
        </w:tc>
        <w:tc>
          <w:tcPr>
            <w:tcW w:w="183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对群众的宣传力度</w:t>
            </w:r>
          </w:p>
        </w:tc>
        <w:tc>
          <w:tcPr>
            <w:tcW w:w="1984" w:type="dxa"/>
            <w:shd w:val="clear" w:color="auto" w:fill="auto"/>
            <w:noWrap/>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741" w:type="dxa"/>
            <w:shd w:val="clear" w:color="auto" w:fill="auto"/>
            <w:noWrap/>
            <w:vAlign w:val="center"/>
          </w:tcPr>
          <w:p>
            <w:pPr>
              <w:widowControl/>
              <w:jc w:val="right"/>
              <w:rPr>
                <w:rFonts w:hint="eastAsia" w:ascii="仿宋_GB2312" w:hAnsi="宋体" w:eastAsia="仿宋_GB2312" w:cs="宋体"/>
                <w:kern w:val="0"/>
                <w:szCs w:val="21"/>
              </w:rPr>
            </w:pPr>
          </w:p>
        </w:tc>
        <w:tc>
          <w:tcPr>
            <w:tcW w:w="155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及时</w:t>
            </w:r>
          </w:p>
        </w:tc>
        <w:tc>
          <w:tcPr>
            <w:tcW w:w="1799"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44" w:type="dxa"/>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满意度指标</w:t>
            </w:r>
          </w:p>
        </w:tc>
        <w:tc>
          <w:tcPr>
            <w:tcW w:w="212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54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领导及群众满意</w:t>
            </w:r>
          </w:p>
        </w:tc>
        <w:tc>
          <w:tcPr>
            <w:tcW w:w="183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领导及群众满意度</w:t>
            </w:r>
          </w:p>
        </w:tc>
        <w:tc>
          <w:tcPr>
            <w:tcW w:w="1984" w:type="dxa"/>
            <w:shd w:val="clear" w:color="auto" w:fill="auto"/>
            <w:noWrap/>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741" w:type="dxa"/>
            <w:shd w:val="clear" w:color="auto" w:fill="auto"/>
            <w:noWrap/>
            <w:vAlign w:val="center"/>
          </w:tcPr>
          <w:p>
            <w:pPr>
              <w:widowControl/>
              <w:jc w:val="right"/>
              <w:rPr>
                <w:rFonts w:hint="eastAsia" w:ascii="仿宋_GB2312" w:hAnsi="宋体" w:eastAsia="仿宋_GB2312" w:cs="宋体"/>
                <w:kern w:val="0"/>
                <w:szCs w:val="21"/>
              </w:rPr>
            </w:pPr>
          </w:p>
        </w:tc>
        <w:tc>
          <w:tcPr>
            <w:tcW w:w="155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非常满意</w:t>
            </w:r>
          </w:p>
        </w:tc>
        <w:tc>
          <w:tcPr>
            <w:tcW w:w="1799"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2021年工作谋划</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“新华网”网络加盟费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85"/>
        <w:gridCol w:w="32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eastAsia="仿宋_GB2312"/>
                <w:szCs w:val="21"/>
              </w:rPr>
              <w:t>域外媒体不能刊登负面报道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21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2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数量指标</w:t>
            </w:r>
          </w:p>
        </w:tc>
        <w:tc>
          <w:tcPr>
            <w:tcW w:w="21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"突发事件</w:t>
            </w:r>
          </w:p>
        </w:tc>
        <w:tc>
          <w:tcPr>
            <w:tcW w:w="32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突发事件</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≤3个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质量指标</w:t>
            </w:r>
          </w:p>
        </w:tc>
        <w:tc>
          <w:tcPr>
            <w:tcW w:w="21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w:t>
            </w:r>
          </w:p>
        </w:tc>
        <w:tc>
          <w:tcPr>
            <w:tcW w:w="32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成本指标</w:t>
            </w:r>
          </w:p>
        </w:tc>
        <w:tc>
          <w:tcPr>
            <w:tcW w:w="21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工作成本</w:t>
            </w:r>
          </w:p>
        </w:tc>
        <w:tc>
          <w:tcPr>
            <w:tcW w:w="32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预算成本</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时效指标</w:t>
            </w:r>
          </w:p>
        </w:tc>
        <w:tc>
          <w:tcPr>
            <w:tcW w:w="21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事件发生</w:t>
            </w:r>
          </w:p>
        </w:tc>
        <w:tc>
          <w:tcPr>
            <w:tcW w:w="32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事件发生到处理事件</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≤48小时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社会效益指标</w:t>
            </w:r>
          </w:p>
        </w:tc>
        <w:tc>
          <w:tcPr>
            <w:tcW w:w="21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w:t>
            </w:r>
          </w:p>
        </w:tc>
        <w:tc>
          <w:tcPr>
            <w:tcW w:w="32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≤1个</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服务对象满意度指标</w:t>
            </w:r>
          </w:p>
        </w:tc>
        <w:tc>
          <w:tcPr>
            <w:tcW w:w="21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服务对象满意度指标</w:t>
            </w:r>
          </w:p>
        </w:tc>
        <w:tc>
          <w:tcPr>
            <w:tcW w:w="32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 xml:space="preserve"> 2.</w:t>
      </w:r>
      <w:r>
        <w:rPr>
          <w:rFonts w:hint="eastAsia" w:ascii="Times New Roman" w:hAnsi="Times New Roman" w:eastAsia="仿宋_GB2312" w:cs="Times New Roman"/>
          <w:sz w:val="28"/>
        </w:rPr>
        <w:t>信息网络基金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eastAsia="仿宋_GB2312"/>
                <w:szCs w:val="21"/>
              </w:rPr>
              <w:t>外界媒体不会刊登大城负面报道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数量指标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"突发事件</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≤3个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质量指标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工作成本</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预算成本</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时效指标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事件发生</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事件发生到处理事件</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≤48小时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社会效益指标</w:t>
            </w:r>
          </w:p>
        </w:tc>
        <w:tc>
          <w:tcPr>
            <w:tcW w:w="1985"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w:t>
            </w:r>
          </w:p>
        </w:tc>
        <w:tc>
          <w:tcPr>
            <w:tcW w:w="3402"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服务对象满意度指标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≥90%</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 xml:space="preserve"> 3</w:t>
      </w:r>
      <w:r>
        <w:rPr>
          <w:rFonts w:ascii="Times New Roman" w:hAnsi="Times New Roman" w:eastAsia="仿宋_GB2312" w:cs="Times New Roman"/>
          <w:sz w:val="28"/>
        </w:rPr>
        <w:t>.</w:t>
      </w:r>
      <w:r>
        <w:rPr>
          <w:rFonts w:hint="eastAsia" w:ascii="Times New Roman" w:hAnsi="Times New Roman" w:eastAsia="仿宋_GB2312" w:cs="Times New Roman"/>
          <w:sz w:val="28"/>
        </w:rPr>
        <w:t>外宣工作基金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eastAsia="仿宋_GB2312"/>
                <w:szCs w:val="21"/>
              </w:rPr>
              <w:t>积极开展外宣活动传达上级指示，收集舆情信息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成本控制</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成本控制情况</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≥80%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数量指标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组织活动宣传次数</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组织活动宣传次数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≥6次</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时效指标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发布及时</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发布及时</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及时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质量指标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宣传原创率</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反映原创稿件占比</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≥60%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社会效益指标</w:t>
            </w:r>
          </w:p>
        </w:tc>
        <w:tc>
          <w:tcPr>
            <w:tcW w:w="1985"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提升群众认知</w:t>
            </w:r>
          </w:p>
        </w:tc>
        <w:tc>
          <w:tcPr>
            <w:tcW w:w="3402"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提升群众认知</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提高</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服务对象满意度指标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对外宣传效果满意度</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对外宣传效果满意度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 xml:space="preserve"> 4</w:t>
      </w:r>
      <w:r>
        <w:rPr>
          <w:rFonts w:ascii="Times New Roman" w:hAnsi="Times New Roman" w:eastAsia="仿宋_GB2312" w:cs="Times New Roman"/>
          <w:sz w:val="28"/>
        </w:rPr>
        <w:t>.</w:t>
      </w:r>
      <w:r>
        <w:rPr>
          <w:rFonts w:hint="eastAsia" w:ascii="Times New Roman" w:hAnsi="Times New Roman" w:eastAsia="仿宋_GB2312" w:cs="Times New Roman"/>
          <w:sz w:val="28"/>
        </w:rPr>
        <w:t>“长城网”网络加盟费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eastAsia="仿宋_GB2312"/>
                <w:szCs w:val="21"/>
              </w:rPr>
              <w:t>正面宣传推介大城，营造正确舆论导向，弘扬正能量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数量指标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播发稿件数量</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各媒体宣传稿件数量</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≥500篇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质量指标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稿件原创率</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反映原创稿件占比</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≥50%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时效指标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发布及时</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发布时效情况</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及时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预算成本</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年初预算安排</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社会效益指标</w:t>
            </w:r>
          </w:p>
        </w:tc>
        <w:tc>
          <w:tcPr>
            <w:tcW w:w="1985"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群众关注度</w:t>
            </w:r>
          </w:p>
        </w:tc>
        <w:tc>
          <w:tcPr>
            <w:tcW w:w="3402"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群众关注度</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服务对象满意度指标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群众关注度</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浏览者对专栏内容满意度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≥95%</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center"/>
        <w:outlineLvl w:val="1"/>
        <w:rPr>
          <w:rFonts w:hint="eastAsia" w:ascii="Times New Roman" w:hAnsi="Times New Roman" w:eastAsia="仿宋_GB2312" w:cs="Times New Roman"/>
          <w:sz w:val="28"/>
        </w:rPr>
      </w:pPr>
    </w:p>
    <w:p>
      <w:pPr>
        <w:ind w:firstLine="560" w:firstLineChars="200"/>
        <w:jc w:val="center"/>
        <w:outlineLvl w:val="1"/>
        <w:rPr>
          <w:rFonts w:hint="eastAsia" w:ascii="Times New Roman" w:hAnsi="Times New Roman" w:eastAsia="仿宋_GB2312" w:cs="Times New Roman"/>
          <w:sz w:val="28"/>
        </w:rPr>
      </w:pPr>
    </w:p>
    <w:p>
      <w:pPr>
        <w:ind w:firstLine="560" w:firstLineChars="200"/>
        <w:jc w:val="center"/>
        <w:outlineLvl w:val="1"/>
        <w:rPr>
          <w:rFonts w:hint="eastAsia" w:ascii="Times New Roman" w:hAnsi="Times New Roman" w:eastAsia="仿宋_GB2312" w:cs="Times New Roman"/>
          <w:sz w:val="28"/>
        </w:rPr>
      </w:pPr>
    </w:p>
    <w:p>
      <w:pPr>
        <w:ind w:firstLine="560" w:firstLineChars="200"/>
        <w:jc w:val="center"/>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 xml:space="preserve"> 5</w:t>
      </w:r>
      <w:r>
        <w:rPr>
          <w:rFonts w:ascii="Times New Roman" w:hAnsi="Times New Roman" w:eastAsia="仿宋_GB2312" w:cs="Times New Roman"/>
          <w:sz w:val="28"/>
        </w:rPr>
        <w:t>.</w:t>
      </w:r>
      <w:r>
        <w:rPr>
          <w:rFonts w:hint="eastAsia" w:ascii="Times New Roman" w:hAnsi="Times New Roman" w:eastAsia="仿宋_GB2312" w:cs="Times New Roman"/>
          <w:sz w:val="28"/>
        </w:rPr>
        <w:t>融媒体中心建设费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eastAsia="仿宋_GB2312"/>
                <w:szCs w:val="21"/>
              </w:rPr>
              <w:t>建设成为高标准的融媒体中心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数量指标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融媒体中心建设</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融媒体中心建设个数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质量指标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融媒体中心建设</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融媒体中心建设</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达标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融媒体中心建设</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40万</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≤40万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时效指标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新闻信息采集与发布</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新闻信息采集与发布</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≤12小时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9"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社会效益指标</w:t>
            </w:r>
          </w:p>
        </w:tc>
        <w:tc>
          <w:tcPr>
            <w:tcW w:w="1985"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社会影响力</w:t>
            </w:r>
          </w:p>
        </w:tc>
        <w:tc>
          <w:tcPr>
            <w:tcW w:w="3402"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新闻对全县的重要影响，得到广大受众的充分认可。</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提高认知</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服务对象满意度指标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观看满意程度</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观看满意程度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 xml:space="preserve"> </w:t>
      </w: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840" w:firstLineChars="3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老电影放映员发放补贴资金</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hAnsi="宋体" w:eastAsia="仿宋_GB2312" w:cs="宋体"/>
                <w:kern w:val="0"/>
                <w:szCs w:val="21"/>
              </w:rPr>
              <w:t>保障老放映员全年补助足额按时发放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覆盖率</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覆盖率</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≤47人</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完成率</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当年公益电影放映任务完成情况</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补助金额发放</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补助金额发放</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预算安排</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年初预算数</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≤8.55万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社会稳定</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社会稳定</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显著</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生态效益指标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补助人群生活改善</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补助人群生活改善</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≥95%</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运行支出</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2020年运行情况</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正常</w:t>
            </w:r>
          </w:p>
        </w:tc>
        <w:tc>
          <w:tcPr>
            <w:tcW w:w="2155" w:type="dxa"/>
            <w:tcBorders>
              <w:top w:val="single" w:color="auto" w:sz="4" w:space="0"/>
            </w:tcBorders>
            <w:shd w:val="clear" w:color="auto" w:fill="auto"/>
            <w:vAlign w:val="center"/>
          </w:tcPr>
          <w:p>
            <w:pPr>
              <w:jc w:val="center"/>
              <w:rPr>
                <w:rFonts w:hint="eastAsia"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老放映员满意度</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老放映员满意度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非常满意</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p>
    <w:p>
      <w:pPr>
        <w:ind w:firstLine="840" w:firstLineChars="3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数字书屋服务费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hAnsi="宋体" w:eastAsia="仿宋_GB2312" w:cs="宋体"/>
                <w:kern w:val="0"/>
                <w:szCs w:val="21"/>
              </w:rPr>
              <w:t>为40个村街维护数字书屋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预算安排</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年初预算安排</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＝1.68万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书屋成立</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成立书屋个数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＝40个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评估书屋应能达到胡使用期</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评估书屋应能达到胡使用期</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＝1年</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书屋内资料</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更新是否及时</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及时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推广使用</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推广使用</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≥40村</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使用者满意</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使用者满意</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≥90%</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840" w:firstLineChars="3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公共文化服务体系农村文化建设安排专项资金</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hAnsi="宋体" w:eastAsia="仿宋_GB2312" w:cs="宋体"/>
                <w:kern w:val="0"/>
                <w:szCs w:val="21"/>
              </w:rPr>
              <w:t>电影主题具有社会性，运用独特的创意、深刻的内涵、鲜明的立场及健康的方式来正确引导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放映次数</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放映电影的次数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＝100场次</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电影更新</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新电影与所有电影</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≥50%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国产影片比例</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国产影片比例</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≤85%</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预算安排</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实际使用与年初预算安排占比</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≤95%</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群众投诉</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观看者投诉率</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≤5%</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观看者满意程度</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观看者满意程度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840" w:firstLineChars="3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老电影放映员发放补贴资金-上级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hAnsi="宋体" w:eastAsia="仿宋_GB2312" w:cs="宋体"/>
                <w:kern w:val="0"/>
                <w:szCs w:val="21"/>
              </w:rPr>
              <w:t>保障老放映员全年补助足额按时发放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覆盖率</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覆盖率</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≤47人</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完成率</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当年公益电影放映任务完成情况</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补助金额发放</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补助金额发放</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预算安排</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年初预算数</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≤8.55万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社会稳定</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社会稳定</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显著</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生态效益指标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补助人群生活改善</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补助人群生活改善</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≥95%</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运行支出</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2020年运行情况</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正常</w:t>
            </w:r>
          </w:p>
        </w:tc>
        <w:tc>
          <w:tcPr>
            <w:tcW w:w="2155" w:type="dxa"/>
            <w:tcBorders>
              <w:top w:val="single" w:color="auto" w:sz="4" w:space="0"/>
            </w:tcBorders>
            <w:shd w:val="clear" w:color="auto" w:fill="auto"/>
            <w:vAlign w:val="center"/>
          </w:tcPr>
          <w:p>
            <w:pPr>
              <w:jc w:val="center"/>
              <w:rPr>
                <w:rFonts w:hint="eastAsia"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老放映员满意度</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老放映员满意度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非常满意</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autoSpaceDE w:val="0"/>
        <w:autoSpaceDN w:val="0"/>
        <w:adjustRightInd w:val="0"/>
        <w:spacing w:line="584" w:lineRule="exact"/>
        <w:ind w:firstLine="560" w:firstLineChars="200"/>
        <w:jc w:val="left"/>
        <w:rPr>
          <w:rFonts w:hint="eastAsia" w:ascii="Times New Roman" w:hAnsi="Times New Roman" w:eastAsia="仿宋_GB2312" w:cs="Times New Roman"/>
          <w:sz w:val="28"/>
        </w:rPr>
      </w:pPr>
    </w:p>
    <w:p>
      <w:pPr>
        <w:autoSpaceDE w:val="0"/>
        <w:autoSpaceDN w:val="0"/>
        <w:adjustRightInd w:val="0"/>
        <w:spacing w:line="584" w:lineRule="exact"/>
        <w:ind w:firstLine="560" w:firstLineChars="200"/>
        <w:jc w:val="left"/>
        <w:rPr>
          <w:rFonts w:hint="eastAsia" w:ascii="Times New Roman" w:hAnsi="Times New Roman" w:eastAsia="仿宋_GB2312" w:cs="Times New Roman"/>
          <w:sz w:val="28"/>
        </w:rPr>
      </w:pPr>
    </w:p>
    <w:p>
      <w:pPr>
        <w:autoSpaceDE w:val="0"/>
        <w:autoSpaceDN w:val="0"/>
        <w:adjustRightInd w:val="0"/>
        <w:spacing w:line="584" w:lineRule="exact"/>
        <w:ind w:firstLine="840" w:firstLineChars="300"/>
        <w:jc w:val="left"/>
        <w:rPr>
          <w:rFonts w:ascii="Times New Roman" w:hAnsi="Times New Roman" w:eastAsia="仿宋_GB2312" w:cs="Times New Roman"/>
          <w:sz w:val="28"/>
        </w:rPr>
      </w:pPr>
      <w:r>
        <w:rPr>
          <w:rFonts w:hint="eastAsia" w:ascii="Times New Roman" w:hAnsi="Times New Roman" w:eastAsia="仿宋_GB2312" w:cs="Times New Roman"/>
          <w:sz w:val="28"/>
        </w:rPr>
        <w:t>10</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“经济信息社”加盟费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hAnsi="宋体" w:eastAsia="仿宋_GB2312" w:cs="宋体"/>
                <w:kern w:val="0"/>
                <w:szCs w:val="21"/>
              </w:rPr>
              <w:t>在经济信息社网专栏进行发布调研报告，经济分析报告和国务院政策解读报告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点题调研报告</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点题调研报告</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＝2次</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稿件原创率</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反映原创稿件占比</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≥50%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发布及时</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发布时效情况</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及时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成本控制</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成本控制</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群众关注度</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群众关注度</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专栏内容满意度</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专栏内容满意度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≥95%</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94.56</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中共河北省大城县委宣传部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pPr>
              <w:jc w:val="center"/>
            </w:pPr>
          </w:p>
        </w:tc>
        <w:tc>
          <w:tcPr>
            <w:tcW w:w="1531" w:type="dxa"/>
            <w:vMerge w:val="continue"/>
            <w:shd w:val="clear" w:color="auto" w:fill="auto"/>
            <w:vAlign w:val="center"/>
          </w:tcPr>
          <w:p>
            <w:pPr>
              <w:jc w:val="center"/>
            </w:pPr>
          </w:p>
        </w:tc>
        <w:tc>
          <w:tcPr>
            <w:tcW w:w="709" w:type="dxa"/>
            <w:vMerge w:val="continue"/>
            <w:shd w:val="clear" w:color="auto" w:fill="auto"/>
            <w:vAlign w:val="center"/>
          </w:tcPr>
          <w:p>
            <w:pPr>
              <w:jc w:val="center"/>
            </w:pPr>
          </w:p>
        </w:tc>
        <w:tc>
          <w:tcPr>
            <w:tcW w:w="907" w:type="dxa"/>
            <w:vMerge w:val="continue"/>
            <w:shd w:val="clear" w:color="auto" w:fill="auto"/>
            <w:vAlign w:val="center"/>
          </w:tcPr>
          <w:p>
            <w:pPr>
              <w:jc w:val="center"/>
            </w:pPr>
          </w:p>
        </w:tc>
        <w:tc>
          <w:tcPr>
            <w:tcW w:w="907" w:type="dxa"/>
            <w:vMerge w:val="continue"/>
            <w:shd w:val="clear" w:color="auto" w:fill="auto"/>
            <w:vAlign w:val="center"/>
          </w:tcPr>
          <w:p>
            <w:pPr>
              <w:jc w:val="center"/>
            </w:p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94.56</w:t>
            </w:r>
          </w:p>
        </w:tc>
        <w:tc>
          <w:tcPr>
            <w:tcW w:w="1531" w:type="dxa"/>
            <w:shd w:val="clear" w:color="auto" w:fill="auto"/>
            <w:vAlign w:val="center"/>
          </w:tcPr>
          <w:p>
            <w:pPr>
              <w:spacing w:line="300" w:lineRule="exact"/>
              <w:jc w:val="center"/>
              <w:rPr>
                <w:rFonts w:ascii="方正书宋_GBK" w:eastAsia="方正书宋_GBK" w:cs="Times New Roman"/>
                <w:b/>
              </w:rPr>
            </w:pPr>
          </w:p>
        </w:tc>
        <w:tc>
          <w:tcPr>
            <w:tcW w:w="1531" w:type="dxa"/>
            <w:shd w:val="clear" w:color="auto" w:fill="auto"/>
            <w:vAlign w:val="center"/>
          </w:tcPr>
          <w:p>
            <w:pPr>
              <w:spacing w:line="300" w:lineRule="exact"/>
              <w:jc w:val="center"/>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农村电影放映</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94.56</w:t>
            </w:r>
          </w:p>
        </w:tc>
        <w:tc>
          <w:tcPr>
            <w:tcW w:w="1531"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电影放映服务</w:t>
            </w:r>
          </w:p>
        </w:tc>
        <w:tc>
          <w:tcPr>
            <w:tcW w:w="1531"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c2002</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场</w:t>
            </w:r>
          </w:p>
        </w:tc>
        <w:tc>
          <w:tcPr>
            <w:tcW w:w="907"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4728</w:t>
            </w:r>
          </w:p>
        </w:tc>
        <w:tc>
          <w:tcPr>
            <w:tcW w:w="907"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200</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94.56</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94.56</w:t>
            </w: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116.66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中共河北省大城县委宣传部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116.66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41.40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75.26</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OWU5ZTRmYTAwM2VmZWE5MThhOGUwZWRkZjE2YzEifQ=="/>
  </w:docVars>
  <w:rsids>
    <w:rsidRoot w:val="00D347CC"/>
    <w:rsid w:val="00103234"/>
    <w:rsid w:val="0012257E"/>
    <w:rsid w:val="001C302F"/>
    <w:rsid w:val="002243E3"/>
    <w:rsid w:val="002574A7"/>
    <w:rsid w:val="004A54AA"/>
    <w:rsid w:val="004F3E87"/>
    <w:rsid w:val="00520182"/>
    <w:rsid w:val="00541655"/>
    <w:rsid w:val="0054359D"/>
    <w:rsid w:val="00643215"/>
    <w:rsid w:val="00660B7C"/>
    <w:rsid w:val="006C5A49"/>
    <w:rsid w:val="007A1A0F"/>
    <w:rsid w:val="007C29C0"/>
    <w:rsid w:val="007D073F"/>
    <w:rsid w:val="007D1B98"/>
    <w:rsid w:val="0080270E"/>
    <w:rsid w:val="008900FF"/>
    <w:rsid w:val="008E4D40"/>
    <w:rsid w:val="00914772"/>
    <w:rsid w:val="00955AAC"/>
    <w:rsid w:val="00995F5D"/>
    <w:rsid w:val="009F72DC"/>
    <w:rsid w:val="00A507D1"/>
    <w:rsid w:val="00A76E13"/>
    <w:rsid w:val="00AD5B89"/>
    <w:rsid w:val="00B05EEA"/>
    <w:rsid w:val="00B80935"/>
    <w:rsid w:val="00CE08E1"/>
    <w:rsid w:val="00D347CC"/>
    <w:rsid w:val="00D463E9"/>
    <w:rsid w:val="00D61BA9"/>
    <w:rsid w:val="00F67B78"/>
    <w:rsid w:val="01AA3877"/>
    <w:rsid w:val="02732F88"/>
    <w:rsid w:val="08CE7DFF"/>
    <w:rsid w:val="0E0C4AE4"/>
    <w:rsid w:val="10225C96"/>
    <w:rsid w:val="13A47809"/>
    <w:rsid w:val="14A949D9"/>
    <w:rsid w:val="1686445B"/>
    <w:rsid w:val="17CB3332"/>
    <w:rsid w:val="1B43471F"/>
    <w:rsid w:val="27801C80"/>
    <w:rsid w:val="298C7EFA"/>
    <w:rsid w:val="334F5C09"/>
    <w:rsid w:val="3538296D"/>
    <w:rsid w:val="375717D0"/>
    <w:rsid w:val="3EFF0CD5"/>
    <w:rsid w:val="3F8A033F"/>
    <w:rsid w:val="3FB253FB"/>
    <w:rsid w:val="46E71798"/>
    <w:rsid w:val="4AC22FAD"/>
    <w:rsid w:val="4D9D4438"/>
    <w:rsid w:val="52831274"/>
    <w:rsid w:val="52C854F1"/>
    <w:rsid w:val="55B856D8"/>
    <w:rsid w:val="55E73D2F"/>
    <w:rsid w:val="59AC7A41"/>
    <w:rsid w:val="606B1F87"/>
    <w:rsid w:val="612D56A4"/>
    <w:rsid w:val="62B53456"/>
    <w:rsid w:val="69653AFD"/>
    <w:rsid w:val="6D0D4676"/>
    <w:rsid w:val="6D6F4BDB"/>
    <w:rsid w:val="6F1B573D"/>
    <w:rsid w:val="6F666EAA"/>
    <w:rsid w:val="7301152C"/>
    <w:rsid w:val="760F3AFF"/>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24</Pages>
  <Words>7375</Words>
  <Characters>7643</Characters>
  <Lines>58</Lines>
  <Paragraphs>16</Paragraphs>
  <TotalTime>2</TotalTime>
  <ScaleCrop>false</ScaleCrop>
  <LinksUpToDate>false</LinksUpToDate>
  <CharactersWithSpaces>7675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ppq</cp:lastModifiedBy>
  <cp:lastPrinted>2018-01-30T06:12:00Z</cp:lastPrinted>
  <dcterms:modified xsi:type="dcterms:W3CDTF">2024-05-21T03:54:44Z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203D844613DB49DA9D0C0C23FE9898B0</vt:lpwstr>
  </property>
</Properties>
</file>