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lang w:eastAsia="zh-CN"/>
        </w:rPr>
        <w:t>中</w:t>
      </w:r>
      <w:r>
        <w:rPr>
          <w:rFonts w:hint="eastAsia" w:ascii="方正小标宋简体" w:hAnsi="方正小标宋简体" w:eastAsia="方正小标宋简体" w:cs="方正小标宋简体"/>
          <w:sz w:val="44"/>
          <w:szCs w:val="44"/>
        </w:rPr>
        <w:t>国共产党大城县委员会党校</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bookmarkStart w:id="4" w:name="_GoBack"/>
      <w:r>
        <w:rPr>
          <w:rFonts w:hint="eastAsia" w:ascii="Times New Roman" w:hAnsi="Times New Roman" w:eastAsia="仿宋_GB2312" w:cs="Times New Roman"/>
          <w:sz w:val="32"/>
          <w:szCs w:val="32"/>
          <w:lang w:eastAsia="zh-CN"/>
        </w:rPr>
        <w:t>《中华人民共和国预算法》</w:t>
      </w:r>
      <w:bookmarkEnd w:id="4"/>
      <w:r>
        <w:rPr>
          <w:rFonts w:ascii="Times New Roman" w:hAnsi="Times New Roman" w:eastAsia="仿宋_GB2312" w:cs="Times New Roman"/>
          <w:sz w:val="32"/>
          <w:szCs w:val="32"/>
        </w:rPr>
        <w:t>、《地方预决算公开操作规程》和《河北省省级预算公开办法》规定，现将</w:t>
      </w:r>
      <w:r>
        <w:rPr>
          <w:rFonts w:hint="eastAsia" w:ascii="仿宋_GB2312" w:hAnsi="仿宋_GB2312" w:eastAsia="仿宋_GB2312" w:cs="仿宋_GB2312"/>
          <w:sz w:val="32"/>
          <w:szCs w:val="32"/>
        </w:rPr>
        <w:t>中国共产党大城县委员会党校2019年部门预算公开如下：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1.轮训副科级以下党员领导干部，加强对乡、村基层干部的理想信念教育、党性党风党纪教育、群众路线教育和政策法制教育。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2.培训中青年党员领导干部。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3.培训意识形态部门的领导的理论干部。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4.协同组织人事部门，对学</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在校期间进行考核考察。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5.围绕国际国内出现的新状况、新问题，开展教学教研。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6.宣传马克思列宁主义、毛泽东思想、邓小平理论，宣传建设有中国特色社会主义理论和党的路线、方针、政策。</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szCs w:val="24"/>
              </w:rPr>
              <w:t>中国共产党大城县委员会党校</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szCs w:val="24"/>
              </w:rPr>
              <w:t>事业</w:t>
            </w:r>
          </w:p>
        </w:tc>
        <w:tc>
          <w:tcPr>
            <w:tcW w:w="127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szCs w:val="24"/>
              </w:rPr>
              <w:t>正科级</w:t>
            </w:r>
          </w:p>
        </w:tc>
        <w:tc>
          <w:tcPr>
            <w:tcW w:w="29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szCs w:val="24"/>
              </w:rPr>
              <w:t>政府性资金基本保证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w:t>
      </w:r>
      <w:r>
        <w:rPr>
          <w:rFonts w:hint="eastAsia" w:ascii="仿宋_GB2312" w:hAnsi="仿宋_GB2312" w:eastAsia="仿宋_GB2312" w:cs="仿宋_GB2312"/>
          <w:sz w:val="32"/>
          <w:szCs w:val="32"/>
        </w:rPr>
        <w:t>目前我县部门预算的编制实行综合预算制度，即全部收入和支出都反映在预算中。中国共产党大城县委员会党校</w:t>
      </w:r>
      <w:r>
        <w:rPr>
          <w:rFonts w:ascii="Times New Roman" w:hAnsi="Times New Roman" w:eastAsia="仿宋_GB2312" w:cs="Times New Roman"/>
          <w:sz w:val="32"/>
          <w:szCs w:val="32"/>
        </w:rPr>
        <w:t>机关收支包含在部门预算中。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w:t>
      </w:r>
      <w:r>
        <w:rPr>
          <w:rFonts w:hint="eastAsia" w:ascii="仿宋_GB2312" w:hAnsi="仿宋_GB2312" w:eastAsia="仿宋_GB2312" w:cs="仿宋_GB2312"/>
          <w:sz w:val="32"/>
          <w:szCs w:val="32"/>
          <w:lang w:val="en-US" w:eastAsia="zh-CN"/>
        </w:rPr>
        <w:t>265.24</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265.24</w:t>
      </w:r>
      <w:r>
        <w:rPr>
          <w:rFonts w:hint="eastAsia" w:ascii="仿宋_GB2312" w:hAnsi="仿宋_GB2312" w:eastAsia="仿宋_GB2312" w:cs="仿宋_GB2312"/>
          <w:sz w:val="32"/>
          <w:szCs w:val="32"/>
        </w:rPr>
        <w:t>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年度部门预算中支出预算的总体情况。201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265.24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220.74</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197.60</w:t>
      </w:r>
      <w:r>
        <w:rPr>
          <w:rFonts w:hint="eastAsia" w:ascii="仿宋_GB2312" w:hAnsi="仿宋_GB2312" w:eastAsia="仿宋_GB2312" w:cs="仿宋_GB2312"/>
          <w:sz w:val="32"/>
          <w:szCs w:val="32"/>
        </w:rPr>
        <w:t>万元和日常公用经费</w:t>
      </w:r>
      <w:r>
        <w:rPr>
          <w:rFonts w:hint="eastAsia" w:ascii="仿宋_GB2312" w:hAnsi="仿宋_GB2312" w:eastAsia="仿宋_GB2312" w:cs="仿宋_GB2312"/>
          <w:sz w:val="32"/>
          <w:szCs w:val="32"/>
          <w:lang w:val="en-US" w:eastAsia="zh-CN"/>
        </w:rPr>
        <w:t>23.14</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44.50</w:t>
      </w:r>
      <w:r>
        <w:rPr>
          <w:rFonts w:hint="eastAsia" w:ascii="仿宋_GB2312" w:hAnsi="仿宋_GB2312" w:eastAsia="仿宋_GB2312" w:cs="仿宋_GB2312"/>
          <w:sz w:val="32"/>
          <w:szCs w:val="32"/>
        </w:rPr>
        <w:t>万元，全部为本级支出，主要为函授教育经费、教师调研及教室维修、组织干部培训班经费、外墙粉刷消防及低压线路改造</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建档立卡贫困户扶贫帮扶专项资金等。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265.24</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12.84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10.94</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减少人员经费</w:t>
      </w:r>
      <w:r>
        <w:rPr>
          <w:rFonts w:hint="eastAsia" w:ascii="仿宋_GB2312" w:hAnsi="仿宋_GB2312" w:eastAsia="仿宋_GB2312" w:cs="仿宋_GB2312"/>
          <w:sz w:val="32"/>
          <w:szCs w:val="32"/>
        </w:rPr>
        <w:t>支出；项目支出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减少函授教育经费</w:t>
      </w:r>
      <w:r>
        <w:rPr>
          <w:rFonts w:hint="eastAsia" w:ascii="仿宋_GB2312" w:hAnsi="仿宋_GB2312" w:eastAsia="仿宋_GB2312" w:cs="仿宋_GB2312"/>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年，我部门机关运行经费共计安排</w:t>
      </w:r>
      <w:r>
        <w:rPr>
          <w:rFonts w:hint="eastAsia" w:ascii="仿宋_GB2312" w:hAnsi="仿宋_GB2312" w:eastAsia="仿宋_GB2312" w:cs="仿宋_GB2312"/>
          <w:sz w:val="32"/>
          <w:szCs w:val="32"/>
          <w:lang w:val="en-US" w:eastAsia="zh-CN"/>
        </w:rPr>
        <w:t>23.14</w:t>
      </w:r>
      <w:r>
        <w:rPr>
          <w:rFonts w:hint="eastAsia" w:ascii="仿宋_GB2312" w:hAnsi="仿宋_GB2312" w:eastAsia="仿宋_GB2312" w:cs="仿宋_GB2312"/>
          <w:sz w:val="32"/>
          <w:szCs w:val="32"/>
        </w:rPr>
        <w:t>万元，主要用于我部门的办公区的日常维修、办公用房水电费、办公用房取暖费、公务用车运行维护费等日常运行支出。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年，我部门财政拨款“三公”经费预算安排</w:t>
      </w: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万元（其中：公务用车购置费为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0.40</w:t>
      </w:r>
      <w:r>
        <w:rPr>
          <w:rFonts w:hint="eastAsia" w:ascii="仿宋_GB2312" w:hAnsi="仿宋_GB2312" w:eastAsia="仿宋_GB2312" w:cs="仿宋_GB2312"/>
          <w:sz w:val="32"/>
          <w:szCs w:val="32"/>
        </w:rPr>
        <w:t>万元。与201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万元，其中：公务用车购置及运维费</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color w:val="000000" w:themeColor="text1"/>
          <w:sz w:val="32"/>
          <w:szCs w:val="32"/>
        </w:rPr>
        <w:t>年相比持平，无增减变化。</w:t>
      </w:r>
      <w:r>
        <w:rPr>
          <w:rFonts w:hint="eastAsia" w:ascii="仿宋_GB2312" w:hAnsi="仿宋_GB2312" w:eastAsia="仿宋_GB2312" w:cs="仿宋_GB2312"/>
          <w:sz w:val="32"/>
          <w:szCs w:val="32"/>
        </w:rPr>
        <w:t>公务接待费减少</w:t>
      </w:r>
      <w:r>
        <w:rPr>
          <w:rFonts w:hint="eastAsia" w:ascii="仿宋_GB2312" w:hAnsi="仿宋_GB2312" w:eastAsia="仿宋_GB2312" w:cs="仿宋_GB2312"/>
          <w:color w:val="000000" w:themeColor="text1"/>
          <w:sz w:val="32"/>
          <w:szCs w:val="32"/>
          <w:highlight w:val="none"/>
          <w:lang w:val="en-US" w:eastAsia="zh-CN"/>
        </w:rPr>
        <w:t>0.20</w:t>
      </w:r>
      <w:r>
        <w:rPr>
          <w:rFonts w:hint="eastAsia" w:ascii="仿宋_GB2312" w:hAnsi="仿宋_GB2312" w:eastAsia="仿宋_GB2312" w:cs="仿宋_GB2312"/>
          <w:sz w:val="32"/>
          <w:szCs w:val="32"/>
        </w:rPr>
        <w:t>万元，主要原因是我部门切实落实勤俭节约各项规定，严格控制公务接待费支出。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281中国共产党大城县委员会党校</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职责活动</w:t>
            </w:r>
          </w:p>
        </w:tc>
        <w:tc>
          <w:tcPr>
            <w:tcW w:w="1276" w:type="dxa"/>
            <w:vMerge w:val="restart"/>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年度预算数</w:t>
            </w:r>
          </w:p>
        </w:tc>
        <w:tc>
          <w:tcPr>
            <w:tcW w:w="2976" w:type="dxa"/>
            <w:vMerge w:val="restart"/>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内容描述</w:t>
            </w:r>
          </w:p>
        </w:tc>
        <w:tc>
          <w:tcPr>
            <w:tcW w:w="2976" w:type="dxa"/>
            <w:vMerge w:val="restart"/>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417" w:type="dxa"/>
            <w:vMerge w:val="restart"/>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w:t>
            </w:r>
          </w:p>
        </w:tc>
        <w:tc>
          <w:tcPr>
            <w:tcW w:w="2948" w:type="dxa"/>
            <w:gridSpan w:val="4"/>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hint="eastAsia" w:ascii="仿宋_GB2312" w:hAnsi="仿宋_GB2312" w:eastAsia="仿宋_GB2312" w:cs="仿宋_GB2312"/>
                <w:sz w:val="21"/>
                <w:szCs w:val="21"/>
              </w:rPr>
            </w:pPr>
          </w:p>
        </w:tc>
        <w:tc>
          <w:tcPr>
            <w:tcW w:w="1276" w:type="dxa"/>
            <w:vMerge w:val="continue"/>
            <w:noWrap w:val="0"/>
            <w:vAlign w:val="center"/>
          </w:tcPr>
          <w:p>
            <w:pPr>
              <w:spacing w:line="300" w:lineRule="exact"/>
              <w:jc w:val="left"/>
              <w:outlineLvl w:val="0"/>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outlineLvl w:val="0"/>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outlineLvl w:val="0"/>
              <w:rPr>
                <w:rFonts w:hint="eastAsia" w:ascii="仿宋_GB2312" w:hAnsi="仿宋_GB2312" w:eastAsia="仿宋_GB2312" w:cs="仿宋_GB2312"/>
                <w:sz w:val="21"/>
                <w:szCs w:val="21"/>
              </w:rPr>
            </w:pPr>
          </w:p>
        </w:tc>
        <w:tc>
          <w:tcPr>
            <w:tcW w:w="1417" w:type="dxa"/>
            <w:vMerge w:val="continue"/>
            <w:noWrap w:val="0"/>
            <w:vAlign w:val="center"/>
          </w:tcPr>
          <w:p>
            <w:pPr>
              <w:spacing w:line="300" w:lineRule="exact"/>
              <w:jc w:val="left"/>
              <w:outlineLvl w:val="0"/>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优</w:t>
            </w:r>
          </w:p>
        </w:tc>
        <w:tc>
          <w:tcPr>
            <w:tcW w:w="73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良</w:t>
            </w:r>
          </w:p>
        </w:tc>
        <w:tc>
          <w:tcPr>
            <w:tcW w:w="73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中</w:t>
            </w:r>
          </w:p>
        </w:tc>
        <w:tc>
          <w:tcPr>
            <w:tcW w:w="737" w:type="dxa"/>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一、培训教育</w:t>
            </w:r>
          </w:p>
        </w:tc>
        <w:tc>
          <w:tcPr>
            <w:tcW w:w="1276"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44.50</w:t>
            </w:r>
          </w:p>
        </w:tc>
        <w:tc>
          <w:tcPr>
            <w:tcW w:w="2976"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党中央、省市和县委关于建设高素质干部队伍的要求，有计划地培训、轮训党员领导干部和宣传骨干；结合全县经济社会发展实际，以研讨中央重大理论和方针、政策问题为目的，举办各种专题研讨班;利用教学资源进行干部短期培训</w:t>
            </w:r>
          </w:p>
        </w:tc>
        <w:tc>
          <w:tcPr>
            <w:tcW w:w="2976"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tc>
        <w:tc>
          <w:tcPr>
            <w:tcW w:w="1417" w:type="dxa"/>
            <w:noWrap w:val="0"/>
            <w:vAlign w:val="center"/>
          </w:tcPr>
          <w:p>
            <w:pPr>
              <w:spacing w:line="300" w:lineRule="exact"/>
              <w:jc w:val="left"/>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1、组织培训班</w:t>
            </w:r>
          </w:p>
        </w:tc>
        <w:tc>
          <w:tcPr>
            <w:tcW w:w="12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15.00</w:t>
            </w: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根据县委组织部的干训计划，培训、轮训领导干部和理论骨干；受县委、县政府及有关职能部门委托，结合全县经济社会发展实际，举办各种专题培训、研讨班。</w:t>
            </w: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通过外请专家学者授课，开拓学员思路；通过现场教学、情景教学、案例教学，有效提高培训质量，提高学员解决实际问题的能力。</w:t>
            </w: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培训、轮训工作完成率</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委托单位满意率</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特色教学百分比</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学员教学满意率</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2、师资与学科建设</w:t>
            </w:r>
          </w:p>
        </w:tc>
        <w:tc>
          <w:tcPr>
            <w:tcW w:w="12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28.30</w:t>
            </w: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加强师资培训、交流、培养，引进高水平人才，加强学科建设和学科培育，形成有党校特色的优势学科和教学基地；提高全县干部群众学历水平，举办函授班。</w:t>
            </w: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把党性教育融入学历教育中，通过重点培育和建设，形成几门有党校特色的优势学科。</w:t>
            </w: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培训满意度</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党校特色教材教案比率</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特色优势学科门数</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3、教学事物管理</w:t>
            </w:r>
          </w:p>
        </w:tc>
        <w:tc>
          <w:tcPr>
            <w:tcW w:w="12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组织实施与教学活动和学员培训相关的综合管理和后勤保障事物</w:t>
            </w: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通过严格的行政后勤管理，为学员培训和教学科研活动创造良好的硬件环境和后勤保障</w:t>
            </w: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后勤保障事务完成率</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受训学员后勤管理综合满意率</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二、理论研究和决策咨询</w:t>
            </w:r>
          </w:p>
        </w:tc>
        <w:tc>
          <w:tcPr>
            <w:tcW w:w="1276" w:type="dxa"/>
            <w:noWrap w:val="0"/>
            <w:vAlign w:val="center"/>
          </w:tcPr>
          <w:p>
            <w:pPr>
              <w:spacing w:line="300" w:lineRule="exact"/>
              <w:jc w:val="left"/>
              <w:rPr>
                <w:rFonts w:hint="eastAsia" w:ascii="仿宋_GB2312" w:hAnsi="仿宋_GB2312" w:eastAsia="仿宋_GB2312" w:cs="仿宋_GB2312"/>
                <w:sz w:val="21"/>
                <w:szCs w:val="21"/>
              </w:rPr>
            </w:pPr>
          </w:p>
        </w:tc>
        <w:tc>
          <w:tcPr>
            <w:tcW w:w="2976"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开展对马克思主义中国化最新成果、全县重大现实问题及战略问题的研究，为推进党的理论创新服务，为县委、县政府及有关部门决策咨询服务</w:t>
            </w:r>
          </w:p>
        </w:tc>
        <w:tc>
          <w:tcPr>
            <w:tcW w:w="2976"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tc>
        <w:tc>
          <w:tcPr>
            <w:tcW w:w="1417" w:type="dxa"/>
            <w:noWrap w:val="0"/>
            <w:vAlign w:val="center"/>
          </w:tcPr>
          <w:p>
            <w:pPr>
              <w:spacing w:line="300" w:lineRule="exact"/>
              <w:jc w:val="left"/>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c>
          <w:tcPr>
            <w:tcW w:w="737" w:type="dxa"/>
            <w:noWrap w:val="0"/>
            <w:vAlign w:val="center"/>
          </w:tcPr>
          <w:p>
            <w:pPr>
              <w:spacing w:line="300"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1、理论研究</w:t>
            </w:r>
          </w:p>
        </w:tc>
        <w:tc>
          <w:tcPr>
            <w:tcW w:w="1276" w:type="dxa"/>
            <w:noWrap w:val="0"/>
            <w:vAlign w:val="center"/>
          </w:tcPr>
          <w:p>
            <w:pPr>
              <w:spacing w:line="300" w:lineRule="exact"/>
              <w:jc w:val="left"/>
              <w:rPr>
                <w:rFonts w:hint="eastAsia" w:ascii="仿宋_GB2312" w:hAnsi="仿宋_GB2312" w:eastAsia="仿宋_GB2312" w:cs="仿宋_GB2312"/>
                <w:sz w:val="21"/>
                <w:szCs w:val="21"/>
              </w:rPr>
            </w:pPr>
          </w:p>
        </w:tc>
        <w:tc>
          <w:tcPr>
            <w:tcW w:w="2976"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对优秀科研成果和成绩突出的优秀科研人才进行定项资助。宣传党和国家的路线方针政策，推进理论和实践创新。</w:t>
            </w:r>
          </w:p>
        </w:tc>
        <w:tc>
          <w:tcPr>
            <w:tcW w:w="2976"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推动教研人员的科研交流和理论探索，产出高质量的理论成果。</w:t>
            </w: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承担省委党校科研课题</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2、决策咨询和政策宣讲</w:t>
            </w:r>
          </w:p>
        </w:tc>
        <w:tc>
          <w:tcPr>
            <w:tcW w:w="1276" w:type="dxa"/>
            <w:vMerge w:val="restart"/>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承担县领导交办的调研任务，围绕县委县政府中心工作，开展决策咨询研究；组织有关领导、教师到各乡镇及相关部门进行政策宣讲。</w:t>
            </w:r>
          </w:p>
        </w:tc>
        <w:tc>
          <w:tcPr>
            <w:tcW w:w="2976" w:type="dxa"/>
            <w:vMerge w:val="restart"/>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通过决策咨询研究，设立一批有质量的决策咨询服务项目，拿出一批优秀的决策咨询成果，为领导决策咨询服务，发挥思想库和智囊团的作用。</w:t>
            </w: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宣讲满意度</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决策咨询研究工作完成率</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送教下乡次数</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仿宋_GB2312" w:hAnsi="仿宋_GB2312" w:eastAsia="仿宋_GB2312" w:cs="仿宋_GB2312"/>
                <w:b/>
                <w:sz w:val="21"/>
                <w:szCs w:val="21"/>
              </w:rPr>
            </w:pPr>
          </w:p>
        </w:tc>
        <w:tc>
          <w:tcPr>
            <w:tcW w:w="12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2976" w:type="dxa"/>
            <w:vMerge w:val="continue"/>
            <w:noWrap w:val="0"/>
            <w:vAlign w:val="center"/>
          </w:tcPr>
          <w:p>
            <w:pPr>
              <w:spacing w:line="300" w:lineRule="exact"/>
              <w:jc w:val="left"/>
              <w:rPr>
                <w:rFonts w:hint="eastAsia" w:ascii="仿宋_GB2312" w:hAnsi="仿宋_GB2312" w:eastAsia="仿宋_GB2312" w:cs="仿宋_GB2312"/>
                <w:sz w:val="21"/>
                <w:szCs w:val="21"/>
              </w:rPr>
            </w:pPr>
          </w:p>
        </w:tc>
        <w:tc>
          <w:tcPr>
            <w:tcW w:w="1417" w:type="dxa"/>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对外宣讲次数</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37" w:type="dxa"/>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&lt;5</w:t>
            </w:r>
          </w:p>
        </w:tc>
      </w:tr>
    </w:tbl>
    <w:p>
      <w:pPr>
        <w:spacing w:line="300" w:lineRule="exact"/>
        <w:jc w:val="left"/>
        <w:outlineLvl w:val="0"/>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2019年，我部门安排政府采购预算</w:t>
      </w:r>
      <w:r>
        <w:rPr>
          <w:rFonts w:hint="eastAsia" w:ascii="仿宋_GB2312" w:hAnsi="仿宋_GB2312" w:eastAsia="仿宋_GB2312" w:cs="仿宋_GB2312"/>
          <w:sz w:val="32"/>
          <w:szCs w:val="24"/>
          <w:lang w:val="en-US" w:eastAsia="zh-CN"/>
        </w:rPr>
        <w:t>0.78</w:t>
      </w:r>
      <w:r>
        <w:rPr>
          <w:rFonts w:hint="eastAsia" w:ascii="仿宋_GB2312" w:hAnsi="仿宋_GB2312" w:eastAsia="仿宋_GB2312" w:cs="仿宋_GB2312"/>
          <w:sz w:val="32"/>
          <w:szCs w:val="24"/>
        </w:rPr>
        <w:t>万元。具体内容见下表。</w:t>
      </w:r>
    </w:p>
    <w:bookmarkEnd w:id="2"/>
    <w:p>
      <w:pPr>
        <w:spacing w:line="584" w:lineRule="exact"/>
        <w:jc w:val="center"/>
        <w:outlineLvl w:val="0"/>
        <w:rPr>
          <w:rFonts w:hint="eastAsia" w:ascii="仿宋_GB2312" w:hAnsi="仿宋_GB2312" w:eastAsia="仿宋_GB2312" w:cs="仿宋_GB2312"/>
          <w:sz w:val="24"/>
          <w:szCs w:val="24"/>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35"/>
        <w:gridCol w:w="948"/>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6"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281中国共产党大城县委员会党校</w:t>
            </w:r>
          </w:p>
        </w:tc>
        <w:tc>
          <w:tcPr>
            <w:tcW w:w="660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17" w:type="dxa"/>
            <w:gridSpan w:val="2"/>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政府采购项目来源</w:t>
            </w:r>
          </w:p>
        </w:tc>
        <w:tc>
          <w:tcPr>
            <w:tcW w:w="959"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采购物品名称</w:t>
            </w:r>
          </w:p>
        </w:tc>
        <w:tc>
          <w:tcPr>
            <w:tcW w:w="1161"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政府采购目录序号</w:t>
            </w:r>
          </w:p>
        </w:tc>
        <w:tc>
          <w:tcPr>
            <w:tcW w:w="747"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  单位</w:t>
            </w:r>
          </w:p>
        </w:tc>
        <w:tc>
          <w:tcPr>
            <w:tcW w:w="747"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w:t>
            </w:r>
          </w:p>
        </w:tc>
        <w:tc>
          <w:tcPr>
            <w:tcW w:w="835"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单价</w:t>
            </w:r>
          </w:p>
        </w:tc>
        <w:tc>
          <w:tcPr>
            <w:tcW w:w="6602" w:type="dxa"/>
            <w:gridSpan w:val="7"/>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1084"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预算资金</w:t>
            </w:r>
          </w:p>
        </w:tc>
        <w:tc>
          <w:tcPr>
            <w:tcW w:w="959"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1161"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747"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747"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835"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948"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总计</w:t>
            </w:r>
          </w:p>
        </w:tc>
        <w:tc>
          <w:tcPr>
            <w:tcW w:w="4746" w:type="dxa"/>
            <w:gridSpan w:val="5"/>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当年部门预算安排资金</w:t>
            </w:r>
          </w:p>
        </w:tc>
        <w:tc>
          <w:tcPr>
            <w:tcW w:w="908" w:type="dxa"/>
            <w:vMerge w:val="restart"/>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1084"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959"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1161"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747"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747"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835"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948" w:type="dxa"/>
            <w:vMerge w:val="continue"/>
            <w:noWrap w:val="0"/>
            <w:vAlign w:val="center"/>
          </w:tcPr>
          <w:p>
            <w:pPr>
              <w:spacing w:line="300" w:lineRule="exact"/>
              <w:jc w:val="left"/>
              <w:outlineLvl w:val="0"/>
              <w:rPr>
                <w:rFonts w:hint="eastAsia" w:ascii="仿宋_GB2312" w:hAnsi="仿宋_GB2312" w:eastAsia="仿宋_GB2312" w:cs="仿宋_GB2312"/>
              </w:rPr>
            </w:pPr>
          </w:p>
        </w:tc>
        <w:tc>
          <w:tcPr>
            <w:tcW w:w="94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合计</w:t>
            </w:r>
          </w:p>
        </w:tc>
        <w:tc>
          <w:tcPr>
            <w:tcW w:w="94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一般公共预算拨款</w:t>
            </w:r>
          </w:p>
        </w:tc>
        <w:tc>
          <w:tcPr>
            <w:tcW w:w="94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基金预算拨款</w:t>
            </w:r>
          </w:p>
        </w:tc>
        <w:tc>
          <w:tcPr>
            <w:tcW w:w="951"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财政专户核拨</w:t>
            </w:r>
          </w:p>
        </w:tc>
        <w:tc>
          <w:tcPr>
            <w:tcW w:w="951"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其他来源收入</w:t>
            </w:r>
          </w:p>
        </w:tc>
        <w:tc>
          <w:tcPr>
            <w:tcW w:w="908" w:type="dxa"/>
            <w:vMerge w:val="continue"/>
            <w:noWrap w:val="0"/>
            <w:vAlign w:val="center"/>
          </w:tcPr>
          <w:p>
            <w:pPr>
              <w:spacing w:line="300" w:lineRule="exact"/>
              <w:jc w:val="left"/>
              <w:outlineLvl w:val="0"/>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　计</w:t>
            </w:r>
          </w:p>
        </w:tc>
        <w:tc>
          <w:tcPr>
            <w:tcW w:w="1084" w:type="dxa"/>
            <w:noWrap w:val="0"/>
            <w:vAlign w:val="center"/>
          </w:tcPr>
          <w:p>
            <w:pPr>
              <w:spacing w:line="300" w:lineRule="exact"/>
              <w:jc w:val="right"/>
              <w:rPr>
                <w:rFonts w:hint="eastAsia" w:ascii="仿宋_GB2312" w:hAnsi="仿宋_GB2312" w:eastAsia="仿宋_GB2312" w:cs="仿宋_GB2312"/>
                <w:b/>
              </w:rPr>
            </w:pPr>
          </w:p>
        </w:tc>
        <w:tc>
          <w:tcPr>
            <w:tcW w:w="959" w:type="dxa"/>
            <w:noWrap w:val="0"/>
            <w:vAlign w:val="center"/>
          </w:tcPr>
          <w:p>
            <w:pPr>
              <w:spacing w:line="300" w:lineRule="exact"/>
              <w:jc w:val="left"/>
              <w:rPr>
                <w:rFonts w:hint="eastAsia" w:ascii="仿宋_GB2312" w:hAnsi="仿宋_GB2312" w:eastAsia="仿宋_GB2312" w:cs="仿宋_GB2312"/>
                <w:b/>
              </w:rPr>
            </w:pPr>
          </w:p>
        </w:tc>
        <w:tc>
          <w:tcPr>
            <w:tcW w:w="1161" w:type="dxa"/>
            <w:noWrap w:val="0"/>
            <w:vAlign w:val="center"/>
          </w:tcPr>
          <w:p>
            <w:pPr>
              <w:spacing w:line="300" w:lineRule="exact"/>
              <w:jc w:val="left"/>
              <w:rPr>
                <w:rFonts w:hint="eastAsia" w:ascii="仿宋_GB2312" w:hAnsi="仿宋_GB2312" w:eastAsia="仿宋_GB2312" w:cs="仿宋_GB2312"/>
                <w:b/>
              </w:rPr>
            </w:pPr>
          </w:p>
        </w:tc>
        <w:tc>
          <w:tcPr>
            <w:tcW w:w="747" w:type="dxa"/>
            <w:noWrap w:val="0"/>
            <w:vAlign w:val="center"/>
          </w:tcPr>
          <w:p>
            <w:pPr>
              <w:spacing w:line="300" w:lineRule="exact"/>
              <w:jc w:val="left"/>
              <w:rPr>
                <w:rFonts w:hint="eastAsia" w:ascii="仿宋_GB2312" w:hAnsi="仿宋_GB2312" w:eastAsia="仿宋_GB2312" w:cs="仿宋_GB2312"/>
                <w:b/>
              </w:rPr>
            </w:pPr>
          </w:p>
        </w:tc>
        <w:tc>
          <w:tcPr>
            <w:tcW w:w="747" w:type="dxa"/>
            <w:noWrap w:val="0"/>
            <w:vAlign w:val="center"/>
          </w:tcPr>
          <w:p>
            <w:pPr>
              <w:spacing w:line="300" w:lineRule="exact"/>
              <w:jc w:val="right"/>
              <w:rPr>
                <w:rFonts w:hint="eastAsia" w:ascii="仿宋_GB2312" w:hAnsi="仿宋_GB2312" w:eastAsia="仿宋_GB2312" w:cs="仿宋_GB2312"/>
                <w:b/>
              </w:rPr>
            </w:pPr>
          </w:p>
        </w:tc>
        <w:tc>
          <w:tcPr>
            <w:tcW w:w="835" w:type="dxa"/>
            <w:noWrap w:val="0"/>
            <w:vAlign w:val="center"/>
          </w:tcPr>
          <w:p>
            <w:pPr>
              <w:spacing w:line="300" w:lineRule="exact"/>
              <w:jc w:val="right"/>
              <w:rPr>
                <w:rFonts w:hint="eastAsia" w:ascii="仿宋_GB2312" w:hAnsi="仿宋_GB2312" w:eastAsia="仿宋_GB2312" w:cs="仿宋_GB2312"/>
                <w:b/>
              </w:rPr>
            </w:pPr>
          </w:p>
        </w:tc>
        <w:tc>
          <w:tcPr>
            <w:tcW w:w="948"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0.78</w:t>
            </w:r>
          </w:p>
        </w:tc>
        <w:tc>
          <w:tcPr>
            <w:tcW w:w="948"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0.78</w:t>
            </w:r>
          </w:p>
        </w:tc>
        <w:tc>
          <w:tcPr>
            <w:tcW w:w="948"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0.78</w:t>
            </w:r>
          </w:p>
        </w:tc>
        <w:tc>
          <w:tcPr>
            <w:tcW w:w="948" w:type="dxa"/>
            <w:noWrap w:val="0"/>
            <w:vAlign w:val="center"/>
          </w:tcPr>
          <w:p>
            <w:pPr>
              <w:spacing w:line="300" w:lineRule="exact"/>
              <w:jc w:val="right"/>
              <w:rPr>
                <w:rFonts w:hint="eastAsia" w:ascii="仿宋_GB2312" w:hAnsi="仿宋_GB2312" w:eastAsia="仿宋_GB2312" w:cs="仿宋_GB2312"/>
                <w:b/>
              </w:rPr>
            </w:pPr>
          </w:p>
        </w:tc>
        <w:tc>
          <w:tcPr>
            <w:tcW w:w="951" w:type="dxa"/>
            <w:noWrap w:val="0"/>
            <w:vAlign w:val="center"/>
          </w:tcPr>
          <w:p>
            <w:pPr>
              <w:spacing w:line="300" w:lineRule="exact"/>
              <w:jc w:val="right"/>
              <w:rPr>
                <w:rFonts w:hint="eastAsia" w:ascii="仿宋_GB2312" w:hAnsi="仿宋_GB2312" w:eastAsia="仿宋_GB2312" w:cs="仿宋_GB2312"/>
                <w:b/>
              </w:rPr>
            </w:pPr>
          </w:p>
        </w:tc>
        <w:tc>
          <w:tcPr>
            <w:tcW w:w="951" w:type="dxa"/>
            <w:noWrap w:val="0"/>
            <w:vAlign w:val="center"/>
          </w:tcPr>
          <w:p>
            <w:pPr>
              <w:spacing w:line="300" w:lineRule="exact"/>
              <w:jc w:val="right"/>
              <w:rPr>
                <w:rFonts w:hint="eastAsia" w:ascii="仿宋_GB2312" w:hAnsi="仿宋_GB2312" w:eastAsia="仿宋_GB2312" w:cs="仿宋_GB2312"/>
                <w:b/>
              </w:rPr>
            </w:pPr>
          </w:p>
        </w:tc>
        <w:tc>
          <w:tcPr>
            <w:tcW w:w="908" w:type="dxa"/>
            <w:noWrap w:val="0"/>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中国共产党大城县委员会党校小计</w:t>
            </w:r>
          </w:p>
        </w:tc>
        <w:tc>
          <w:tcPr>
            <w:tcW w:w="1084" w:type="dxa"/>
            <w:noWrap w:val="0"/>
            <w:vAlign w:val="center"/>
          </w:tcPr>
          <w:p>
            <w:pPr>
              <w:spacing w:line="300" w:lineRule="exact"/>
              <w:jc w:val="right"/>
              <w:rPr>
                <w:rFonts w:hint="eastAsia" w:ascii="仿宋_GB2312" w:hAnsi="仿宋_GB2312" w:eastAsia="仿宋_GB2312" w:cs="仿宋_GB2312"/>
                <w:b/>
              </w:rPr>
            </w:pPr>
          </w:p>
        </w:tc>
        <w:tc>
          <w:tcPr>
            <w:tcW w:w="959" w:type="dxa"/>
            <w:noWrap w:val="0"/>
            <w:vAlign w:val="center"/>
          </w:tcPr>
          <w:p>
            <w:pPr>
              <w:spacing w:line="300" w:lineRule="exact"/>
              <w:jc w:val="left"/>
              <w:rPr>
                <w:rFonts w:hint="eastAsia" w:ascii="仿宋_GB2312" w:hAnsi="仿宋_GB2312" w:eastAsia="仿宋_GB2312" w:cs="仿宋_GB2312"/>
                <w:b/>
              </w:rPr>
            </w:pPr>
          </w:p>
        </w:tc>
        <w:tc>
          <w:tcPr>
            <w:tcW w:w="1161" w:type="dxa"/>
            <w:noWrap w:val="0"/>
            <w:vAlign w:val="center"/>
          </w:tcPr>
          <w:p>
            <w:pPr>
              <w:spacing w:line="300" w:lineRule="exact"/>
              <w:jc w:val="left"/>
              <w:rPr>
                <w:rFonts w:hint="eastAsia" w:ascii="仿宋_GB2312" w:hAnsi="仿宋_GB2312" w:eastAsia="仿宋_GB2312" w:cs="仿宋_GB2312"/>
                <w:b/>
              </w:rPr>
            </w:pPr>
          </w:p>
        </w:tc>
        <w:tc>
          <w:tcPr>
            <w:tcW w:w="747" w:type="dxa"/>
            <w:noWrap w:val="0"/>
            <w:vAlign w:val="center"/>
          </w:tcPr>
          <w:p>
            <w:pPr>
              <w:spacing w:line="300" w:lineRule="exact"/>
              <w:jc w:val="left"/>
              <w:rPr>
                <w:rFonts w:hint="eastAsia" w:ascii="仿宋_GB2312" w:hAnsi="仿宋_GB2312" w:eastAsia="仿宋_GB2312" w:cs="仿宋_GB2312"/>
                <w:b/>
              </w:rPr>
            </w:pPr>
          </w:p>
        </w:tc>
        <w:tc>
          <w:tcPr>
            <w:tcW w:w="747" w:type="dxa"/>
            <w:noWrap w:val="0"/>
            <w:vAlign w:val="center"/>
          </w:tcPr>
          <w:p>
            <w:pPr>
              <w:spacing w:line="300" w:lineRule="exact"/>
              <w:jc w:val="right"/>
              <w:rPr>
                <w:rFonts w:hint="eastAsia" w:ascii="仿宋_GB2312" w:hAnsi="仿宋_GB2312" w:eastAsia="仿宋_GB2312" w:cs="仿宋_GB2312"/>
                <w:b/>
              </w:rPr>
            </w:pPr>
          </w:p>
        </w:tc>
        <w:tc>
          <w:tcPr>
            <w:tcW w:w="835" w:type="dxa"/>
            <w:noWrap w:val="0"/>
            <w:vAlign w:val="center"/>
          </w:tcPr>
          <w:p>
            <w:pPr>
              <w:spacing w:line="300" w:lineRule="exact"/>
              <w:jc w:val="right"/>
              <w:rPr>
                <w:rFonts w:hint="eastAsia" w:ascii="仿宋_GB2312" w:hAnsi="仿宋_GB2312" w:eastAsia="仿宋_GB2312" w:cs="仿宋_GB2312"/>
                <w:b/>
              </w:rPr>
            </w:pPr>
          </w:p>
        </w:tc>
        <w:tc>
          <w:tcPr>
            <w:tcW w:w="948"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0.78</w:t>
            </w:r>
          </w:p>
        </w:tc>
        <w:tc>
          <w:tcPr>
            <w:tcW w:w="948"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0.78</w:t>
            </w:r>
          </w:p>
        </w:tc>
        <w:tc>
          <w:tcPr>
            <w:tcW w:w="948" w:type="dxa"/>
            <w:noWrap w:val="0"/>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0.78</w:t>
            </w:r>
          </w:p>
        </w:tc>
        <w:tc>
          <w:tcPr>
            <w:tcW w:w="948" w:type="dxa"/>
            <w:noWrap w:val="0"/>
            <w:vAlign w:val="center"/>
          </w:tcPr>
          <w:p>
            <w:pPr>
              <w:spacing w:line="300" w:lineRule="exact"/>
              <w:jc w:val="right"/>
              <w:rPr>
                <w:rFonts w:hint="eastAsia" w:ascii="仿宋_GB2312" w:hAnsi="仿宋_GB2312" w:eastAsia="仿宋_GB2312" w:cs="仿宋_GB2312"/>
                <w:b/>
              </w:rPr>
            </w:pPr>
          </w:p>
        </w:tc>
        <w:tc>
          <w:tcPr>
            <w:tcW w:w="951" w:type="dxa"/>
            <w:noWrap w:val="0"/>
            <w:vAlign w:val="center"/>
          </w:tcPr>
          <w:p>
            <w:pPr>
              <w:spacing w:line="300" w:lineRule="exact"/>
              <w:jc w:val="right"/>
              <w:rPr>
                <w:rFonts w:hint="eastAsia" w:ascii="仿宋_GB2312" w:hAnsi="仿宋_GB2312" w:eastAsia="仿宋_GB2312" w:cs="仿宋_GB2312"/>
                <w:b/>
              </w:rPr>
            </w:pPr>
          </w:p>
        </w:tc>
        <w:tc>
          <w:tcPr>
            <w:tcW w:w="951" w:type="dxa"/>
            <w:noWrap w:val="0"/>
            <w:vAlign w:val="center"/>
          </w:tcPr>
          <w:p>
            <w:pPr>
              <w:spacing w:line="300" w:lineRule="exact"/>
              <w:jc w:val="right"/>
              <w:rPr>
                <w:rFonts w:hint="eastAsia" w:ascii="仿宋_GB2312" w:hAnsi="仿宋_GB2312" w:eastAsia="仿宋_GB2312" w:cs="仿宋_GB2312"/>
                <w:b/>
              </w:rPr>
            </w:pPr>
          </w:p>
        </w:tc>
        <w:tc>
          <w:tcPr>
            <w:tcW w:w="908" w:type="dxa"/>
            <w:noWrap w:val="0"/>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函授教育经费</w:t>
            </w:r>
          </w:p>
        </w:tc>
        <w:tc>
          <w:tcPr>
            <w:tcW w:w="108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9.20</w:t>
            </w:r>
          </w:p>
        </w:tc>
        <w:tc>
          <w:tcPr>
            <w:tcW w:w="959"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计算机设备</w:t>
            </w:r>
          </w:p>
        </w:tc>
        <w:tc>
          <w:tcPr>
            <w:tcW w:w="116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A020101</w:t>
            </w:r>
          </w:p>
        </w:tc>
        <w:tc>
          <w:tcPr>
            <w:tcW w:w="747"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台</w:t>
            </w:r>
          </w:p>
        </w:tc>
        <w:tc>
          <w:tcPr>
            <w:tcW w:w="74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1.00</w:t>
            </w:r>
          </w:p>
        </w:tc>
        <w:tc>
          <w:tcPr>
            <w:tcW w:w="835"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0.48</w:t>
            </w:r>
          </w:p>
        </w:tc>
        <w:tc>
          <w:tcPr>
            <w:tcW w:w="948"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0.48</w:t>
            </w:r>
          </w:p>
        </w:tc>
        <w:tc>
          <w:tcPr>
            <w:tcW w:w="948"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0.48</w:t>
            </w:r>
          </w:p>
        </w:tc>
        <w:tc>
          <w:tcPr>
            <w:tcW w:w="948"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0.48</w:t>
            </w:r>
          </w:p>
        </w:tc>
        <w:tc>
          <w:tcPr>
            <w:tcW w:w="948" w:type="dxa"/>
            <w:noWrap w:val="0"/>
            <w:vAlign w:val="center"/>
          </w:tcPr>
          <w:p>
            <w:pPr>
              <w:spacing w:line="300" w:lineRule="exact"/>
              <w:jc w:val="right"/>
              <w:rPr>
                <w:rFonts w:hint="eastAsia" w:ascii="仿宋_GB2312" w:hAnsi="仿宋_GB2312" w:eastAsia="仿宋_GB2312" w:cs="仿宋_GB2312"/>
              </w:rPr>
            </w:pPr>
          </w:p>
        </w:tc>
        <w:tc>
          <w:tcPr>
            <w:tcW w:w="951" w:type="dxa"/>
            <w:noWrap w:val="0"/>
            <w:vAlign w:val="center"/>
          </w:tcPr>
          <w:p>
            <w:pPr>
              <w:spacing w:line="300" w:lineRule="exact"/>
              <w:jc w:val="right"/>
              <w:rPr>
                <w:rFonts w:hint="eastAsia" w:ascii="仿宋_GB2312" w:hAnsi="仿宋_GB2312" w:eastAsia="仿宋_GB2312" w:cs="仿宋_GB2312"/>
              </w:rPr>
            </w:pPr>
          </w:p>
        </w:tc>
        <w:tc>
          <w:tcPr>
            <w:tcW w:w="951" w:type="dxa"/>
            <w:noWrap w:val="0"/>
            <w:vAlign w:val="center"/>
          </w:tcPr>
          <w:p>
            <w:pPr>
              <w:spacing w:line="300" w:lineRule="exact"/>
              <w:jc w:val="right"/>
              <w:rPr>
                <w:rFonts w:hint="eastAsia" w:ascii="仿宋_GB2312" w:hAnsi="仿宋_GB2312" w:eastAsia="仿宋_GB2312" w:cs="仿宋_GB2312"/>
              </w:rPr>
            </w:pPr>
          </w:p>
        </w:tc>
        <w:tc>
          <w:tcPr>
            <w:tcW w:w="908" w:type="dxa"/>
            <w:noWrap w:val="0"/>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函授教育经费</w:t>
            </w:r>
          </w:p>
        </w:tc>
        <w:tc>
          <w:tcPr>
            <w:tcW w:w="1084"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9.20</w:t>
            </w:r>
          </w:p>
        </w:tc>
        <w:tc>
          <w:tcPr>
            <w:tcW w:w="959"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打印设备</w:t>
            </w:r>
          </w:p>
        </w:tc>
        <w:tc>
          <w:tcPr>
            <w:tcW w:w="1161"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A02010601</w:t>
            </w:r>
          </w:p>
        </w:tc>
        <w:tc>
          <w:tcPr>
            <w:tcW w:w="747"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台</w:t>
            </w:r>
          </w:p>
        </w:tc>
        <w:tc>
          <w:tcPr>
            <w:tcW w:w="747"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2.00</w:t>
            </w:r>
          </w:p>
        </w:tc>
        <w:tc>
          <w:tcPr>
            <w:tcW w:w="835"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0.15</w:t>
            </w:r>
          </w:p>
        </w:tc>
        <w:tc>
          <w:tcPr>
            <w:tcW w:w="948"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0.30</w:t>
            </w:r>
          </w:p>
        </w:tc>
        <w:tc>
          <w:tcPr>
            <w:tcW w:w="948"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0.30</w:t>
            </w:r>
          </w:p>
        </w:tc>
        <w:tc>
          <w:tcPr>
            <w:tcW w:w="948" w:type="dxa"/>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0.30</w:t>
            </w:r>
          </w:p>
        </w:tc>
        <w:tc>
          <w:tcPr>
            <w:tcW w:w="948" w:type="dxa"/>
            <w:noWrap w:val="0"/>
            <w:vAlign w:val="center"/>
          </w:tcPr>
          <w:p>
            <w:pPr>
              <w:spacing w:line="300" w:lineRule="exact"/>
              <w:jc w:val="right"/>
              <w:rPr>
                <w:rFonts w:hint="eastAsia" w:ascii="仿宋_GB2312" w:hAnsi="仿宋_GB2312" w:eastAsia="仿宋_GB2312" w:cs="仿宋_GB2312"/>
              </w:rPr>
            </w:pPr>
          </w:p>
        </w:tc>
        <w:tc>
          <w:tcPr>
            <w:tcW w:w="951" w:type="dxa"/>
            <w:noWrap w:val="0"/>
            <w:vAlign w:val="center"/>
          </w:tcPr>
          <w:p>
            <w:pPr>
              <w:spacing w:line="300" w:lineRule="exact"/>
              <w:jc w:val="right"/>
              <w:rPr>
                <w:rFonts w:hint="eastAsia" w:ascii="仿宋_GB2312" w:hAnsi="仿宋_GB2312" w:eastAsia="仿宋_GB2312" w:cs="仿宋_GB2312"/>
              </w:rPr>
            </w:pPr>
          </w:p>
        </w:tc>
        <w:tc>
          <w:tcPr>
            <w:tcW w:w="951" w:type="dxa"/>
            <w:noWrap w:val="0"/>
            <w:vAlign w:val="center"/>
          </w:tcPr>
          <w:p>
            <w:pPr>
              <w:spacing w:line="300" w:lineRule="exact"/>
              <w:jc w:val="right"/>
              <w:rPr>
                <w:rFonts w:hint="eastAsia" w:ascii="仿宋_GB2312" w:hAnsi="仿宋_GB2312" w:eastAsia="仿宋_GB2312" w:cs="仿宋_GB2312"/>
              </w:rPr>
            </w:pPr>
          </w:p>
        </w:tc>
        <w:tc>
          <w:tcPr>
            <w:tcW w:w="908" w:type="dxa"/>
            <w:noWrap w:val="0"/>
            <w:vAlign w:val="center"/>
          </w:tcPr>
          <w:p>
            <w:pPr>
              <w:spacing w:line="300" w:lineRule="exact"/>
              <w:jc w:val="right"/>
              <w:rPr>
                <w:rFonts w:hint="eastAsia" w:ascii="仿宋_GB2312" w:hAnsi="仿宋_GB2312" w:eastAsia="仿宋_GB2312" w:cs="仿宋_GB2312"/>
              </w:rPr>
            </w:pPr>
          </w:p>
        </w:tc>
      </w:tr>
    </w:tbl>
    <w:p>
      <w:pPr>
        <w:spacing w:line="584" w:lineRule="exact"/>
        <w:jc w:val="center"/>
        <w:outlineLvl w:val="0"/>
        <w:rPr>
          <w:rFonts w:ascii="Times New Roman" w:hAnsi="Times New Roman" w:eastAsia="仿宋_GB2312" w:cs="Times New Roman"/>
          <w:sz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大城县委党校上年末固定资产金额为</w:t>
      </w:r>
      <w:r>
        <w:rPr>
          <w:rFonts w:hint="eastAsia" w:ascii="仿宋_GB2312" w:hAnsi="仿宋_GB2312" w:eastAsia="仿宋_GB2312" w:cs="仿宋_GB2312"/>
          <w:sz w:val="32"/>
          <w:szCs w:val="32"/>
          <w:lang w:val="en-US" w:eastAsia="zh-CN"/>
        </w:rPr>
        <w:t>526.00</w:t>
      </w:r>
      <w:r>
        <w:rPr>
          <w:rFonts w:hint="eastAsia" w:ascii="仿宋_GB2312" w:hAnsi="仿宋_GB2312" w:eastAsia="仿宋_GB2312" w:cs="仿宋_GB2312"/>
          <w:sz w:val="32"/>
          <w:szCs w:val="32"/>
        </w:rPr>
        <w:t>万元，详见下表。本年度我部门拟购置固定资产共计</w:t>
      </w:r>
      <w:r>
        <w:rPr>
          <w:rFonts w:hint="eastAsia" w:ascii="仿宋_GB2312" w:hAnsi="仿宋_GB2312" w:eastAsia="仿宋_GB2312" w:cs="仿宋_GB2312"/>
          <w:sz w:val="32"/>
          <w:szCs w:val="32"/>
          <w:lang w:val="en-US" w:eastAsia="zh-CN"/>
        </w:rPr>
        <w:t>0.78</w:t>
      </w:r>
      <w:r>
        <w:rPr>
          <w:rFonts w:hint="eastAsia" w:ascii="仿宋_GB2312" w:hAnsi="仿宋_GB2312" w:eastAsia="仿宋_GB2312" w:cs="仿宋_GB2312"/>
          <w:sz w:val="32"/>
          <w:szCs w:val="32"/>
        </w:rPr>
        <w:t>万元，主要为计算机设备、打印设备等，已列入政府采购预算，详见政府采购预算表。</w:t>
      </w:r>
    </w:p>
    <w:p>
      <w:pPr>
        <w:spacing w:line="584" w:lineRule="exact"/>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大城县委党校</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编制部门：中国共产党大城县委员会党校</w:t>
            </w:r>
          </w:p>
        </w:tc>
        <w:tc>
          <w:tcPr>
            <w:tcW w:w="5103" w:type="dxa"/>
            <w:tcBorders>
              <w:top w:val="nil"/>
              <w:left w:val="nil"/>
              <w:bottom w:val="nil"/>
              <w:right w:val="nil"/>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截止时间：2018年12月31日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526.00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2"/>
              </w:rPr>
            </w:pPr>
            <w:r>
              <w:rPr>
                <w:rFonts w:hint="eastAsia" w:ascii="仿宋_GB2312" w:hAnsi="仿宋_GB2312" w:eastAsia="仿宋_GB2312" w:cs="仿宋_GB2312"/>
                <w:kern w:val="0"/>
                <w:sz w:val="22"/>
              </w:rPr>
              <w:t>4872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2"/>
              </w:rPr>
            </w:pPr>
            <w:r>
              <w:rPr>
                <w:rFonts w:hint="eastAsia" w:ascii="仿宋_GB2312" w:hAnsi="仿宋_GB2312" w:eastAsia="仿宋_GB2312" w:cs="仿宋_GB2312"/>
                <w:kern w:val="0"/>
                <w:sz w:val="22"/>
              </w:rPr>
              <w:t>432.28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2"/>
              </w:rPr>
            </w:pPr>
            <w:r>
              <w:rPr>
                <w:rFonts w:hint="eastAsia" w:ascii="仿宋_GB2312" w:hAnsi="仿宋_GB2312" w:eastAsia="仿宋_GB2312" w:cs="仿宋_GB2312"/>
                <w:kern w:val="0"/>
                <w:sz w:val="22"/>
              </w:rPr>
              <w:t>4867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2"/>
              </w:rPr>
            </w:pPr>
            <w:r>
              <w:rPr>
                <w:rFonts w:hint="eastAsia" w:ascii="仿宋_GB2312" w:hAnsi="仿宋_GB2312" w:eastAsia="仿宋_GB2312" w:cs="仿宋_GB2312"/>
                <w:kern w:val="0"/>
                <w:sz w:val="22"/>
              </w:rPr>
              <w:t>425.43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2"/>
              </w:rPr>
            </w:pPr>
            <w:r>
              <w:rPr>
                <w:rFonts w:hint="eastAsia" w:ascii="仿宋_GB2312" w:hAnsi="仿宋_GB2312" w:eastAsia="仿宋_GB2312" w:cs="仿宋_GB2312"/>
                <w:kern w:val="0"/>
                <w:sz w:val="22"/>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kern w:val="0"/>
                <w:sz w:val="22"/>
              </w:rPr>
              <w:t>18.6</w:t>
            </w:r>
            <w:r>
              <w:rPr>
                <w:rFonts w:hint="eastAsia" w:ascii="仿宋_GB2312" w:hAnsi="仿宋_GB2312" w:eastAsia="仿宋_GB2312" w:cs="仿宋_GB2312"/>
                <w:kern w:val="0"/>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40.80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34.32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MjY1ZGY5Mzk0ZmI1NTVmMzkxODFiOTIyNGJjOGEifQ=="/>
  </w:docVars>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44872E8"/>
    <w:rsid w:val="048E66A0"/>
    <w:rsid w:val="0E181188"/>
    <w:rsid w:val="0F7334DC"/>
    <w:rsid w:val="114754DD"/>
    <w:rsid w:val="131342A0"/>
    <w:rsid w:val="21AA4A7C"/>
    <w:rsid w:val="26F276A0"/>
    <w:rsid w:val="28EB27FE"/>
    <w:rsid w:val="29E95B9B"/>
    <w:rsid w:val="37B82761"/>
    <w:rsid w:val="380A10CB"/>
    <w:rsid w:val="3E6F083D"/>
    <w:rsid w:val="4C7E79F3"/>
    <w:rsid w:val="56337CE6"/>
    <w:rsid w:val="58D47D4E"/>
    <w:rsid w:val="5CD43DB3"/>
    <w:rsid w:val="66BF55C6"/>
    <w:rsid w:val="7B525015"/>
    <w:rsid w:val="7DBE4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3"/>
    <w:autoRedefine/>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autoRedefine/>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423</Words>
  <Characters>2417</Characters>
  <Lines>20</Lines>
  <Paragraphs>5</Paragraphs>
  <TotalTime>26</TotalTime>
  <ScaleCrop>false</ScaleCrop>
  <LinksUpToDate>false</LinksUpToDate>
  <CharactersWithSpaces>2835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DELL</cp:lastModifiedBy>
  <cp:lastPrinted>2018-01-30T06:12:00Z</cp:lastPrinted>
  <dcterms:modified xsi:type="dcterms:W3CDTF">2024-05-21T02:06:50Z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1357122CFC4F4B1EA4CA8177AE220CFD_13</vt:lpwstr>
  </property>
</Properties>
</file>