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大城县人民检察院</w:t>
      </w: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年部门预算信息公开</w:t>
      </w:r>
      <w:r>
        <w:rPr>
          <w:rFonts w:hint="eastAsia" w:ascii="方正小标宋简体" w:hAnsi="方正小标宋简体" w:eastAsia="方正小标宋简体" w:cs="方正小标宋简体"/>
          <w:sz w:val="44"/>
          <w:szCs w:val="44"/>
          <w:lang w:eastAsia="zh-CN"/>
        </w:rPr>
        <w:t>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中华人民共和国</w:t>
      </w:r>
      <w:bookmarkStart w:id="3" w:name="_GoBack"/>
      <w:bookmarkEnd w:id="3"/>
      <w:r>
        <w:rPr>
          <w:rFonts w:hint="eastAsia" w:ascii="仿宋_GB2312" w:hAnsi="仿宋_GB2312" w:eastAsia="仿宋_GB2312" w:cs="仿宋_GB2312"/>
          <w:sz w:val="32"/>
          <w:szCs w:val="32"/>
        </w:rPr>
        <w:t>预算法》、《地方预决算公开操作规程》和《河北省省级预算公开办法》规定，现将</w:t>
      </w:r>
      <w:r>
        <w:rPr>
          <w:rFonts w:hint="eastAsia" w:ascii="仿宋_GB2312" w:hAnsi="仿宋_GB2312" w:eastAsia="仿宋_GB2312" w:cs="仿宋_GB2312"/>
          <w:sz w:val="32"/>
          <w:szCs w:val="32"/>
          <w:lang w:eastAsia="zh-CN"/>
        </w:rPr>
        <w:t>大城县人民检察院</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年部门预算公开如下：</w:t>
      </w:r>
    </w:p>
    <w:p>
      <w:pPr>
        <w:ind w:firstLine="640"/>
        <w:rPr>
          <w:rFonts w:hint="eastAsia" w:ascii="黑体" w:hAnsi="黑体" w:eastAsia="黑体" w:cs="黑体"/>
          <w:sz w:val="32"/>
          <w:szCs w:val="32"/>
        </w:rPr>
      </w:pPr>
      <w:r>
        <w:rPr>
          <w:rFonts w:hint="eastAsia" w:ascii="黑体" w:hAnsi="黑体" w:eastAsia="黑体" w:cs="黑体"/>
          <w:sz w:val="32"/>
          <w:szCs w:val="32"/>
        </w:rPr>
        <w:t>一、部门职责及机构设置情况</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部门职责：</w:t>
      </w:r>
    </w:p>
    <w:p>
      <w:pPr>
        <w:ind w:firstLine="640" w:firstLineChars="200"/>
        <w:rPr>
          <w:rFonts w:hint="eastAsia" w:ascii="仿宋" w:hAnsi="仿宋" w:eastAsia="仿宋"/>
          <w:sz w:val="32"/>
          <w:szCs w:val="32"/>
        </w:rPr>
      </w:pPr>
      <w:r>
        <w:rPr>
          <w:rFonts w:hint="eastAsia" w:ascii="仿宋" w:hAnsi="仿宋" w:eastAsia="仿宋"/>
          <w:sz w:val="32"/>
          <w:szCs w:val="32"/>
        </w:rPr>
        <w:t>（一）对县人民代表大会及其常务委员会和市人民检察院负责并报告工作，接受县人民代表大会及其常务委员会的监督，查办县人民代表大会及其常务委员会和上级人民检察院交办的案件或其它事项。</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二</w:t>
      </w:r>
      <w:r>
        <w:rPr>
          <w:rFonts w:hint="eastAsia" w:ascii="仿宋" w:hAnsi="仿宋" w:eastAsia="仿宋"/>
          <w:sz w:val="32"/>
          <w:szCs w:val="32"/>
        </w:rPr>
        <w:t>）对刑事犯罪案件依法审查批捕，提起公诉，履行法律监督职责，掌握社会治安动态，参与社会治安综合治理。</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）对同级人民法院已发生法律效力的民事、经济和行政审判活动进行监督，对确有错误的向上级人民检察院提请抗诉。</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）对同级人民法院确有错误的判决和裁定，依法提起抗诉。</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）受理公民控告、申诉和检举，办理刑事赔偿事项。</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六</w:t>
      </w:r>
      <w:r>
        <w:rPr>
          <w:rFonts w:hint="eastAsia" w:ascii="仿宋" w:hAnsi="仿宋" w:eastAsia="仿宋"/>
          <w:sz w:val="32"/>
          <w:szCs w:val="32"/>
        </w:rPr>
        <w:t>）对于检察工作中具体应用法律的问题进行研究；向有关领导和业务部门提出意见和建议，研究探索检察工作的加强和改革，进行检察学理论研究。</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七</w:t>
      </w:r>
      <w:r>
        <w:rPr>
          <w:rFonts w:hint="eastAsia" w:ascii="仿宋" w:hAnsi="仿宋" w:eastAsia="仿宋"/>
          <w:sz w:val="32"/>
          <w:szCs w:val="32"/>
        </w:rPr>
        <w:t>）对全院干警的执法执纪情况进行监督，查处群众反映的干警违法违纪行为，开展纪律教育、执法检查等活动，督查各项制度的落实。</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八</w:t>
      </w:r>
      <w:r>
        <w:rPr>
          <w:rFonts w:hint="eastAsia" w:ascii="仿宋" w:hAnsi="仿宋" w:eastAsia="仿宋"/>
          <w:sz w:val="32"/>
          <w:szCs w:val="32"/>
        </w:rPr>
        <w:t>）加强检察机关的思想政治工作和队伍建设，提请县人民代表大会常务委员会决定任免县人民检察院副检察长、检察委员会委员、检察员。</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九</w:t>
      </w:r>
      <w:r>
        <w:rPr>
          <w:rFonts w:hint="eastAsia" w:ascii="仿宋" w:hAnsi="仿宋" w:eastAsia="仿宋"/>
          <w:sz w:val="32"/>
          <w:szCs w:val="32"/>
        </w:rPr>
        <w:t>）协同主管部门管理人民检察院的机构设置、人员编制工作；做好检察人员的教育培训工作，制定中长期发展规划和学历教育工作。</w:t>
      </w:r>
    </w:p>
    <w:p>
      <w:pPr>
        <w:ind w:firstLine="640" w:firstLineChars="200"/>
        <w:rPr>
          <w:rFonts w:hint="eastAsia" w:ascii="仿宋" w:hAnsi="仿宋" w:eastAsia="仿宋"/>
          <w:sz w:val="32"/>
          <w:szCs w:val="32"/>
        </w:rPr>
      </w:pPr>
      <w:r>
        <w:rPr>
          <w:rFonts w:hint="eastAsia" w:ascii="仿宋" w:hAnsi="仿宋" w:eastAsia="仿宋"/>
          <w:sz w:val="32"/>
          <w:szCs w:val="32"/>
        </w:rPr>
        <w:t>（十）负责检察机关先进集体、个人的表彰、奖励工作，做好检察官等级呈报及司法警察的授衔和管理工作。</w:t>
      </w:r>
    </w:p>
    <w:p>
      <w:pPr>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一</w:t>
      </w:r>
      <w:r>
        <w:rPr>
          <w:rFonts w:hint="eastAsia" w:ascii="仿宋" w:hAnsi="仿宋" w:eastAsia="仿宋"/>
          <w:sz w:val="32"/>
          <w:szCs w:val="32"/>
        </w:rPr>
        <w:t>）负责检察机关党总支工作，老干部工作、妇联、工会及其它有关工作。</w:t>
      </w:r>
    </w:p>
    <w:p>
      <w:pPr>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二</w:t>
      </w:r>
      <w:r>
        <w:rPr>
          <w:rFonts w:hint="eastAsia" w:ascii="仿宋" w:hAnsi="仿宋" w:eastAsia="仿宋"/>
          <w:sz w:val="32"/>
          <w:szCs w:val="32"/>
        </w:rPr>
        <w:t>）做好上报下达，财务装备，信息反馈等工作。</w:t>
      </w:r>
    </w:p>
    <w:p>
      <w:pPr>
        <w:ind w:firstLine="640" w:firstLineChars="200"/>
        <w:rPr>
          <w:rFonts w:hint="eastAsia" w:ascii="仿宋" w:hAnsi="仿宋" w:eastAsia="仿宋"/>
          <w:sz w:val="32"/>
          <w:szCs w:val="32"/>
        </w:rPr>
      </w:pPr>
      <w:r>
        <w:rPr>
          <w:rFonts w:hint="eastAsia" w:ascii="仿宋" w:hAnsi="仿宋" w:eastAsia="仿宋"/>
          <w:sz w:val="32"/>
          <w:szCs w:val="32"/>
        </w:rPr>
        <w:t>部门预算单位构成</w:t>
      </w:r>
      <w:r>
        <w:rPr>
          <w:rFonts w:hint="eastAsia" w:ascii="仿宋" w:hAnsi="仿宋" w:eastAsia="仿宋"/>
          <w:sz w:val="32"/>
          <w:szCs w:val="32"/>
          <w:lang w:val="en-US" w:eastAsia="zh-CN"/>
        </w:rPr>
        <w:t>:</w:t>
      </w: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大城县人民检察院部门预算为县本级预算,无下属单位。</w:t>
      </w:r>
    </w:p>
    <w:p>
      <w:pPr>
        <w:ind w:firstLine="640" w:firstLineChars="200"/>
        <w:rPr>
          <w:rFonts w:hint="eastAsia" w:ascii="仿宋_GB2312" w:hAnsi="仿宋_GB2312" w:eastAsia="仿宋_GB2312" w:cs="仿宋_GB2312"/>
          <w:sz w:val="32"/>
          <w:szCs w:val="32"/>
        </w:rPr>
      </w:pPr>
    </w:p>
    <w:p>
      <w:pPr>
        <w:autoSpaceDE w:val="0"/>
        <w:autoSpaceDN w:val="0"/>
        <w:adjustRightInd w:val="0"/>
        <w:ind w:firstLine="643" w:firstLineChars="200"/>
        <w:jc w:val="left"/>
        <w:rPr>
          <w:rFonts w:ascii="方正仿宋_GBK" w:hAnsi="Times New Roman" w:eastAsia="方正仿宋_GBK" w:cs="Times New Roman"/>
          <w:b/>
          <w:sz w:val="32"/>
          <w:szCs w:val="32"/>
        </w:rPr>
      </w:pPr>
      <w:r>
        <w:rPr>
          <w:rFonts w:hint="eastAsia" w:ascii="仿宋_GB2312" w:hAnsi="仿宋_GB2312" w:eastAsia="仿宋_GB2312" w:cs="仿宋_GB2312"/>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4"/>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eastAsia="宋体" w:cs="Times New Roman"/>
                <w:szCs w:val="24"/>
              </w:rPr>
            </w:pPr>
          </w:p>
        </w:tc>
        <w:tc>
          <w:tcPr>
            <w:tcW w:w="1134" w:type="dxa"/>
            <w:vMerge w:val="continue"/>
            <w:vAlign w:val="center"/>
          </w:tcPr>
          <w:p>
            <w:pPr>
              <w:spacing w:line="300" w:lineRule="exact"/>
              <w:jc w:val="left"/>
              <w:outlineLvl w:val="0"/>
              <w:rPr>
                <w:rFonts w:ascii="Times New Roman" w:hAnsi="Times New Roman" w:eastAsia="宋体" w:cs="Times New Roman"/>
                <w:szCs w:val="24"/>
              </w:rPr>
            </w:pPr>
          </w:p>
        </w:tc>
        <w:tc>
          <w:tcPr>
            <w:tcW w:w="1276" w:type="dxa"/>
            <w:vMerge w:val="continue"/>
            <w:vAlign w:val="center"/>
          </w:tcPr>
          <w:p>
            <w:pPr>
              <w:spacing w:line="300" w:lineRule="exact"/>
              <w:jc w:val="left"/>
              <w:outlineLvl w:val="0"/>
              <w:rPr>
                <w:rFonts w:ascii="Times New Roman" w:hAnsi="Times New Roman" w:eastAsia="宋体" w:cs="Times New Roman"/>
                <w:szCs w:val="24"/>
              </w:rPr>
            </w:pPr>
          </w:p>
        </w:tc>
        <w:tc>
          <w:tcPr>
            <w:tcW w:w="2902" w:type="dxa"/>
            <w:vMerge w:val="continue"/>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大城县人民检察院</w:t>
            </w:r>
          </w:p>
        </w:tc>
        <w:tc>
          <w:tcPr>
            <w:tcW w:w="1134" w:type="dxa"/>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行政单位</w:t>
            </w:r>
          </w:p>
        </w:tc>
        <w:tc>
          <w:tcPr>
            <w:tcW w:w="1276" w:type="dxa"/>
            <w:vAlign w:val="center"/>
          </w:tcPr>
          <w:p>
            <w:pPr>
              <w:spacing w:line="300" w:lineRule="exact"/>
              <w:jc w:val="left"/>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副处</w:t>
            </w:r>
          </w:p>
        </w:tc>
        <w:tc>
          <w:tcPr>
            <w:tcW w:w="2902" w:type="dxa"/>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财政拨款</w:t>
            </w:r>
          </w:p>
        </w:tc>
      </w:tr>
    </w:tbl>
    <w:p>
      <w:pPr>
        <w:ind w:firstLine="640"/>
        <w:rPr>
          <w:rFonts w:hint="eastAsia" w:ascii="黑体" w:hAnsi="黑体" w:eastAsia="黑体" w:cs="黑体"/>
          <w:sz w:val="32"/>
          <w:szCs w:val="32"/>
        </w:rPr>
      </w:pPr>
      <w:r>
        <w:rPr>
          <w:rFonts w:hint="eastAsia" w:ascii="黑体" w:hAnsi="黑体" w:eastAsia="黑体" w:cs="黑体"/>
          <w:sz w:val="32"/>
          <w:szCs w:val="32"/>
        </w:rPr>
        <w:t>二、部门预算安排的总体情况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部门预算的编制实行综合预算制度，即全部收入和支出都反映在预算中。</w:t>
      </w:r>
    </w:p>
    <w:p>
      <w:pPr>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1、收入说明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年预算收入</w:t>
      </w:r>
      <w:r>
        <w:rPr>
          <w:rFonts w:hint="eastAsia" w:ascii="仿宋_GB2312" w:hAnsi="仿宋_GB2312" w:eastAsia="仿宋_GB2312" w:cs="仿宋_GB2312"/>
          <w:sz w:val="32"/>
          <w:szCs w:val="32"/>
          <w:lang w:val="en-US" w:eastAsia="zh-CN"/>
        </w:rPr>
        <w:t>1615.77</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1615.77</w:t>
      </w:r>
      <w:r>
        <w:rPr>
          <w:rFonts w:hint="eastAsia" w:ascii="仿宋_GB2312" w:hAnsi="仿宋_GB2312" w:eastAsia="仿宋_GB2312" w:cs="仿宋_GB2312"/>
          <w:sz w:val="32"/>
          <w:szCs w:val="32"/>
        </w:rPr>
        <w:t>万元，</w:t>
      </w:r>
      <w:r>
        <w:rPr>
          <w:rFonts w:ascii="Times New Roman" w:hAnsi="Times New Roman" w:eastAsia="仿宋_GB2312" w:cs="Times New Roman"/>
          <w:sz w:val="32"/>
          <w:szCs w:val="32"/>
        </w:rPr>
        <w:t>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w:t>
      </w:r>
    </w:p>
    <w:p>
      <w:pPr>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2、支出说明</w:t>
      </w:r>
    </w:p>
    <w:p>
      <w:pPr>
        <w:ind w:firstLine="640"/>
        <w:rPr>
          <w:rFonts w:hint="eastAsia" w:ascii="仿宋" w:hAnsi="仿宋" w:eastAsia="仿宋"/>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w:t>
      </w:r>
      <w:r>
        <w:rPr>
          <w:rFonts w:hint="eastAsia" w:ascii="仿宋_GB2312" w:hAnsi="仿宋_GB2312" w:eastAsia="仿宋_GB2312" w:cs="仿宋_GB2312"/>
          <w:sz w:val="32"/>
          <w:szCs w:val="32"/>
          <w:lang w:eastAsia="zh-CN"/>
        </w:rPr>
        <w:t>我部门</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年度部门预算中支出预算的总体情况。201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1615.77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622.91</w:t>
      </w:r>
      <w:r>
        <w:rPr>
          <w:rFonts w:hint="eastAsia" w:ascii="仿宋_GB2312" w:hAnsi="仿宋_GB2312" w:eastAsia="仿宋_GB2312" w:cs="仿宋_GB2312"/>
          <w:sz w:val="32"/>
          <w:szCs w:val="32"/>
        </w:rPr>
        <w:t>万元，</w:t>
      </w:r>
      <w:r>
        <w:rPr>
          <w:rFonts w:hint="eastAsia" w:ascii="仿宋" w:hAnsi="仿宋" w:eastAsia="仿宋"/>
          <w:sz w:val="32"/>
          <w:szCs w:val="32"/>
        </w:rPr>
        <w:t>项目类</w:t>
      </w:r>
      <w:r>
        <w:rPr>
          <w:rFonts w:hint="eastAsia" w:ascii="仿宋" w:hAnsi="仿宋" w:eastAsia="仿宋"/>
          <w:sz w:val="32"/>
          <w:szCs w:val="32"/>
          <w:lang w:eastAsia="zh-CN"/>
        </w:rPr>
        <w:t>支出</w:t>
      </w:r>
      <w:r>
        <w:rPr>
          <w:rFonts w:hint="eastAsia" w:ascii="仿宋" w:hAnsi="仿宋" w:eastAsia="仿宋"/>
          <w:sz w:val="32"/>
          <w:szCs w:val="32"/>
          <w:lang w:val="en-US" w:eastAsia="zh-CN"/>
        </w:rPr>
        <w:t>992.86万元</w:t>
      </w:r>
      <w:r>
        <w:rPr>
          <w:rFonts w:hint="eastAsia" w:ascii="仿宋" w:hAnsi="仿宋" w:eastAsia="仿宋"/>
          <w:sz w:val="32"/>
          <w:szCs w:val="32"/>
        </w:rPr>
        <w:t>。</w:t>
      </w:r>
    </w:p>
    <w:p>
      <w:pPr>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3、比上年增减情况</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年预算收支安排</w:t>
      </w:r>
      <w:r>
        <w:rPr>
          <w:rFonts w:hint="eastAsia" w:ascii="仿宋_GB2312" w:hAnsi="仿宋_GB2312" w:eastAsia="仿宋_GB2312" w:cs="仿宋_GB2312"/>
          <w:sz w:val="32"/>
          <w:szCs w:val="32"/>
          <w:lang w:val="en-US" w:eastAsia="zh-CN"/>
        </w:rPr>
        <w:t>1615.77</w:t>
      </w:r>
      <w:r>
        <w:rPr>
          <w:rFonts w:hint="eastAsia" w:ascii="仿宋_GB2312" w:hAnsi="仿宋_GB2312" w:eastAsia="仿宋_GB2312" w:cs="仿宋_GB2312"/>
          <w:sz w:val="32"/>
          <w:szCs w:val="32"/>
        </w:rPr>
        <w:t>万元，较201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公开数据增加</w:t>
      </w:r>
      <w:r>
        <w:rPr>
          <w:rFonts w:hint="eastAsia" w:ascii="仿宋_GB2312" w:hAnsi="仿宋_GB2312" w:eastAsia="仿宋_GB2312" w:cs="仿宋_GB2312"/>
          <w:sz w:val="32"/>
          <w:szCs w:val="32"/>
          <w:lang w:val="en-US" w:eastAsia="zh-CN"/>
        </w:rPr>
        <w:t>1140.15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因涉密，</w:t>
      </w:r>
      <w:r>
        <w:rPr>
          <w:rFonts w:hint="eastAsia" w:ascii="仿宋_GB2312" w:hAnsi="仿宋_GB2312" w:eastAsia="仿宋_GB2312" w:cs="仿宋_GB2312"/>
          <w:sz w:val="32"/>
          <w:szCs w:val="32"/>
          <w:lang w:val="en-US" w:eastAsia="zh-CN"/>
        </w:rPr>
        <w:t>2018年未公开项目支出相关数据，只公开基本支出数据为475.62元。</w:t>
      </w:r>
      <w:r>
        <w:rPr>
          <w:rFonts w:hint="eastAsia" w:ascii="仿宋_GB2312" w:hAnsi="仿宋_GB2312" w:eastAsia="仿宋_GB2312" w:cs="仿宋_GB2312"/>
          <w:sz w:val="32"/>
          <w:szCs w:val="32"/>
        </w:rPr>
        <w:t>其中：基本支出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147.29</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人员经费支出增加，提高工资标准和增加人员。</w:t>
      </w:r>
    </w:p>
    <w:p>
      <w:pPr>
        <w:ind w:firstLine="640"/>
        <w:rPr>
          <w:rFonts w:hint="eastAsia" w:ascii="黑体" w:hAnsi="黑体" w:eastAsia="黑体" w:cs="黑体"/>
          <w:sz w:val="32"/>
          <w:szCs w:val="32"/>
        </w:rPr>
      </w:pPr>
      <w:r>
        <w:rPr>
          <w:rFonts w:hint="eastAsia" w:ascii="黑体" w:hAnsi="黑体" w:eastAsia="黑体" w:cs="黑体"/>
          <w:sz w:val="32"/>
          <w:szCs w:val="32"/>
        </w:rPr>
        <w:t>三、机关运行经费安排情况</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机关运行经费共计安排</w:t>
      </w:r>
      <w:r>
        <w:rPr>
          <w:rFonts w:hint="eastAsia" w:ascii="仿宋_GB2312" w:hAnsi="仿宋_GB2312" w:eastAsia="仿宋_GB2312" w:cs="仿宋_GB2312"/>
          <w:sz w:val="32"/>
          <w:szCs w:val="32"/>
          <w:lang w:val="en-US" w:eastAsia="zh-CN"/>
        </w:rPr>
        <w:t>67.7</w:t>
      </w:r>
      <w:r>
        <w:rPr>
          <w:rFonts w:hint="eastAsia" w:ascii="仿宋_GB2312" w:hAnsi="仿宋_GB2312" w:eastAsia="仿宋_GB2312" w:cs="仿宋_GB2312"/>
          <w:sz w:val="32"/>
          <w:szCs w:val="32"/>
        </w:rPr>
        <w:t>万元，主要用于办公区的日常维修、办公用房水电费、办公用房取暖费</w:t>
      </w:r>
      <w:r>
        <w:rPr>
          <w:rFonts w:hint="eastAsia" w:ascii="仿宋_GB2312" w:hAnsi="仿宋_GB2312" w:eastAsia="仿宋_GB2312" w:cs="仿宋_GB2312"/>
          <w:sz w:val="32"/>
          <w:szCs w:val="32"/>
          <w:lang w:eastAsia="zh-CN"/>
        </w:rPr>
        <w:t>、</w:t>
      </w:r>
      <w:r>
        <w:rPr>
          <w:rFonts w:hint="eastAsia" w:ascii="仿宋_GB2312" w:hAnsi="Times New Roman" w:eastAsia="仿宋_GB2312" w:cs="Times New Roman"/>
          <w:sz w:val="32"/>
          <w:szCs w:val="32"/>
        </w:rPr>
        <w:t>公务用车运行维护费</w:t>
      </w:r>
      <w:r>
        <w:rPr>
          <w:rFonts w:hint="eastAsia" w:ascii="仿宋_GB2312" w:hAnsi="仿宋_GB2312" w:eastAsia="仿宋_GB2312" w:cs="仿宋_GB2312"/>
          <w:sz w:val="32"/>
          <w:szCs w:val="32"/>
        </w:rPr>
        <w:t>等日常运行支出。</w:t>
      </w:r>
    </w:p>
    <w:p>
      <w:pPr>
        <w:ind w:firstLine="640"/>
        <w:rPr>
          <w:rFonts w:hint="eastAsia" w:ascii="黑体" w:hAnsi="黑体" w:eastAsia="黑体" w:cs="黑体"/>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ind w:left="198"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我部门财政拨款</w:t>
      </w:r>
      <w:r>
        <w:rPr>
          <w:rFonts w:hint="eastAsia" w:ascii="仿宋_GB2312" w:hAnsi="仿宋_GB2312" w:eastAsia="仿宋_GB2312" w:cs="仿宋_GB2312"/>
          <w:sz w:val="32"/>
          <w:szCs w:val="32"/>
        </w:rPr>
        <w:t>“三公”经费预算安排</w:t>
      </w:r>
      <w:r>
        <w:rPr>
          <w:rFonts w:hint="eastAsia" w:ascii="仿宋_GB2312" w:hAnsi="仿宋_GB2312" w:eastAsia="仿宋_GB2312" w:cs="仿宋_GB2312"/>
          <w:sz w:val="32"/>
          <w:szCs w:val="32"/>
          <w:lang w:val="en-US" w:eastAsia="zh-CN"/>
        </w:rPr>
        <w:t>48.63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比去年减少</w:t>
      </w:r>
      <w:r>
        <w:rPr>
          <w:rFonts w:hint="eastAsia" w:ascii="仿宋_GB2312" w:hAnsi="仿宋_GB2312" w:eastAsia="仿宋_GB2312" w:cs="仿宋_GB2312"/>
          <w:sz w:val="32"/>
          <w:szCs w:val="32"/>
          <w:lang w:val="en-US" w:eastAsia="zh-CN"/>
        </w:rPr>
        <w:t>15.07万元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其中因公出国（境）费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，与上年持平</w:t>
      </w:r>
      <w:r>
        <w:rPr>
          <w:rFonts w:hint="eastAsia" w:ascii="仿宋_GB2312" w:hAnsi="仿宋_GB2312" w:eastAsia="仿宋_GB2312" w:cs="仿宋_GB2312"/>
          <w:sz w:val="32"/>
          <w:szCs w:val="32"/>
        </w:rPr>
        <w:t>；公务用车购置及运维费</w:t>
      </w:r>
      <w:r>
        <w:rPr>
          <w:rFonts w:hint="eastAsia" w:ascii="仿宋_GB2312" w:hAnsi="仿宋_GB2312" w:eastAsia="仿宋_GB2312" w:cs="仿宋_GB2312"/>
          <w:sz w:val="32"/>
          <w:szCs w:val="32"/>
          <w:lang w:val="en-US" w:eastAsia="zh-CN"/>
        </w:rPr>
        <w:t>44.23</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公务用车购置费为</w:t>
      </w:r>
      <w:r>
        <w:rPr>
          <w:rFonts w:hint="eastAsia" w:ascii="仿宋_GB2312" w:hAnsi="仿宋_GB2312" w:eastAsia="仿宋_GB2312" w:cs="仿宋_GB2312"/>
          <w:sz w:val="32"/>
          <w:szCs w:val="32"/>
          <w:lang w:val="en-US" w:eastAsia="zh-CN"/>
        </w:rPr>
        <w:t>0万元，与上年持平，</w:t>
      </w:r>
      <w:r>
        <w:rPr>
          <w:rFonts w:hint="eastAsia" w:ascii="仿宋_GB2312" w:hAnsi="仿宋_GB2312" w:eastAsia="仿宋_GB2312" w:cs="仿宋_GB2312"/>
          <w:sz w:val="32"/>
          <w:szCs w:val="32"/>
          <w:lang w:eastAsia="zh-CN"/>
        </w:rPr>
        <w:t>公务用车运维费</w:t>
      </w:r>
      <w:r>
        <w:rPr>
          <w:rFonts w:hint="eastAsia" w:ascii="仿宋_GB2312" w:hAnsi="仿宋_GB2312" w:eastAsia="仿宋_GB2312" w:cs="仿宋_GB2312"/>
          <w:sz w:val="32"/>
          <w:szCs w:val="32"/>
          <w:lang w:val="en-US" w:eastAsia="zh-CN"/>
        </w:rPr>
        <w:t>44.23万元，比2018年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19.4万元，原因是</w:t>
      </w:r>
      <w:r>
        <w:rPr>
          <w:rFonts w:hint="eastAsia" w:ascii="仿宋_GB2312" w:hAnsi="仿宋_GB2312" w:eastAsia="仿宋_GB2312" w:cs="仿宋_GB2312"/>
          <w:sz w:val="32"/>
          <w:szCs w:val="32"/>
          <w:lang w:eastAsia="zh-CN"/>
        </w:rPr>
        <w:t>我部门落实勤俭节约各项规定，压减公车运行支出）；公务接待费</w:t>
      </w:r>
      <w:r>
        <w:rPr>
          <w:rFonts w:hint="eastAsia" w:ascii="仿宋_GB2312" w:hAnsi="仿宋_GB2312" w:eastAsia="仿宋_GB2312" w:cs="仿宋_GB2312"/>
          <w:sz w:val="32"/>
          <w:szCs w:val="32"/>
          <w:lang w:val="en-US" w:eastAsia="zh-CN"/>
        </w:rPr>
        <w:t>4.40万元，比2018年增加4.4万元，原因是因业务需要，接待次数增加。</w:t>
      </w:r>
    </w:p>
    <w:p>
      <w:pPr>
        <w:rPr>
          <w:rFonts w:hint="eastAsia" w:ascii="黑体" w:hAnsi="黑体" w:eastAsia="黑体" w:cs="黑体"/>
          <w:sz w:val="32"/>
          <w:szCs w:val="32"/>
        </w:rPr>
      </w:pPr>
      <w:r>
        <w:rPr>
          <w:rFonts w:hint="eastAsia" w:ascii="仿宋_GB2312" w:hAnsi="Times New Roman" w:eastAsia="仿宋_GB2312" w:cs="Times New Roman"/>
          <w:b/>
          <w:color w:val="FF0000"/>
          <w:sz w:val="32"/>
          <w:szCs w:val="32"/>
          <w:lang w:val="en-US" w:eastAsia="zh-CN"/>
        </w:rPr>
        <w:t xml:space="preserve">    </w:t>
      </w:r>
      <w:r>
        <w:rPr>
          <w:rFonts w:hint="eastAsia" w:ascii="黑体" w:hAnsi="黑体" w:eastAsia="黑体" w:cs="黑体"/>
          <w:sz w:val="32"/>
          <w:szCs w:val="32"/>
        </w:rPr>
        <w:t>五、绩效预算信息</w:t>
      </w:r>
    </w:p>
    <w:p>
      <w:pPr>
        <w:widowControl/>
        <w:spacing w:line="584" w:lineRule="exact"/>
        <w:ind w:firstLine="560" w:firstLineChars="200"/>
        <w:jc w:val="left"/>
        <w:rPr>
          <w:rFonts w:hint="eastAsia" w:ascii="Calibri" w:hAnsi="Calibri" w:eastAsia="仿宋_GB2312" w:cs="Times New Roman"/>
          <w:sz w:val="32"/>
          <w:szCs w:val="32"/>
        </w:rPr>
      </w:pPr>
      <w:bookmarkStart w:id="0" w:name="_Toc471398463"/>
      <w:r>
        <w:rPr>
          <w:rFonts w:ascii="方正仿宋_GBK" w:eastAsia="方正仿宋_GBK"/>
          <w:sz w:val="28"/>
        </w:rPr>
        <w:t xml:space="preserve"> </w:t>
      </w:r>
      <w:r>
        <w:rPr>
          <w:rFonts w:hint="eastAsia" w:ascii="Calibri" w:hAnsi="Calibri" w:eastAsia="仿宋_GB2312" w:cs="Times New Roman"/>
          <w:sz w:val="32"/>
          <w:szCs w:val="32"/>
        </w:rPr>
        <w:t>根据大城县财政预算绩效管理要求，大城县财政局以“部门职责--工作活动”为依据，确定部门预算项目和预算额度，清晰描述预算项目开支范围和内容，确定预算项目和绩效目标、绩效指标和评价标准，为预算绩效控制、绩效分析、绩效评价打下好的基础。</w:t>
      </w:r>
    </w:p>
    <w:p>
      <w:pPr>
        <w:spacing w:line="500" w:lineRule="exact"/>
        <w:ind w:firstLine="560"/>
        <w:rPr>
          <w:rFonts w:hint="eastAsia" w:ascii="仿宋_GB2312" w:hAnsi="仿宋_GB2312" w:eastAsia="仿宋_GB2312" w:cs="仿宋_GB2312"/>
          <w:sz w:val="32"/>
          <w:szCs w:val="32"/>
          <w:lang w:eastAsia="zh-CN"/>
        </w:rPr>
      </w:pPr>
    </w:p>
    <w:p>
      <w:pPr>
        <w:ind w:firstLine="643" w:firstLineChars="200"/>
        <w:jc w:val="left"/>
        <w:rPr>
          <w:rFonts w:hint="eastAsia" w:ascii="仿宋_GB2312" w:hAnsi="仿宋_GB2312" w:eastAsia="仿宋_GB2312" w:cs="仿宋_GB2312"/>
          <w:b/>
          <w:sz w:val="32"/>
          <w:szCs w:val="32"/>
        </w:rPr>
      </w:pPr>
    </w:p>
    <w:p>
      <w:pPr>
        <w:ind w:firstLine="643" w:firstLineChars="200"/>
        <w:jc w:val="left"/>
        <w:outlineLvl w:val="0"/>
        <w:rPr>
          <w:rFonts w:hint="eastAsia" w:ascii="仿宋_GB2312" w:hAnsi="仿宋_GB2312" w:eastAsia="仿宋_GB2312" w:cs="仿宋_GB2312"/>
          <w:b/>
          <w:sz w:val="32"/>
          <w:szCs w:val="24"/>
        </w:rPr>
      </w:pPr>
      <w:r>
        <w:rPr>
          <w:rFonts w:hint="eastAsia" w:ascii="仿宋_GB2312" w:hAnsi="仿宋_GB2312" w:eastAsia="仿宋_GB2312" w:cs="仿宋_GB2312"/>
          <w:b/>
          <w:sz w:val="32"/>
          <w:szCs w:val="32"/>
        </w:rPr>
        <w:t>部门职责及工作活动绩效目标指标：</w:t>
      </w: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p>
    <w:p>
      <w:pPr>
        <w:jc w:val="center"/>
        <w:outlineLvl w:val="0"/>
        <w:rPr>
          <w:rFonts w:ascii="方正小标宋_GBK" w:eastAsia="方正小标宋_GBK"/>
          <w:color w:val="FFFFFF"/>
          <w:sz w:val="32"/>
        </w:rPr>
      </w:pPr>
      <w:bookmarkStart w:id="1" w:name="_Toc2013000"/>
      <w:r>
        <w:rPr>
          <w:rFonts w:hint="eastAsia" w:ascii="方正小标宋_GBK" w:eastAsia="方正小标宋_GBK"/>
          <w:sz w:val="32"/>
        </w:rPr>
        <w:t>部门职责-工作活动绩效目标</w:t>
      </w:r>
      <w:r>
        <w:rPr>
          <w:rStyle w:val="7"/>
          <w:rFonts w:ascii="方正小标宋_GBK" w:eastAsia="方正小标宋_GBK"/>
          <w:color w:val="FFFFFF"/>
          <w:sz w:val="32"/>
        </w:rPr>
        <w:footnoteReference w:id="0" w:customMarkFollows="1"/>
        <w:sym w:font="Symbol" w:char="F020"/>
      </w:r>
      <w:bookmarkEnd w:id="1"/>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151</w:t>
            </w:r>
            <w:r>
              <w:rPr>
                <w:rFonts w:hint="eastAsia" w:ascii="方正小标宋_GBK" w:eastAsia="方正小标宋_GBK"/>
                <w:sz w:val="24"/>
              </w:rPr>
              <w:t>大城县人民检察院</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lang w:eastAsia="zh-CN"/>
              </w:rPr>
              <w:t>一</w:t>
            </w:r>
            <w:r>
              <w:rPr>
                <w:rFonts w:hint="eastAsia" w:ascii="方正书宋_GBK" w:eastAsia="方正书宋_GBK"/>
                <w:b/>
              </w:rPr>
              <w:t>、检察监督</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120.45</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对侦查机关的侦查活动、人民法院的审判活动、看守所等机关执行刑罚的活动，依法实行法律监督，维护司法公正。</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通过行使检察权，惩罚犯罪活动，保护国家安全，保护公民、法人和其他组织的合法权益，保障国家法律的正确实施。</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、侦查监督</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36.06</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侦查监督职能的行使贯穿刑事立案到侦查终结全过程。主要包括审查逮捕、立案监督和侦查活动监督等职能。</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保障人权、维护司法公正，有效提高批捕、批准立案、批延准确率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侦查监督完成率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、公诉和审判监督</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52.26</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审查起诉；对上诉、抗诉案件及再审案件进行审查；出庭支持公诉</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全面审查案件事实，核实证据，依法提起公诉、出庭提出审查意见，提高公诉案件审结率、出庭意见采纳率</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提起公诉完成率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、民事行政诉讼监督</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依法对民事诉讼和行政诉讼实行法律监督，维护司法公正和司法权威，保障国家法律的统一正确实施</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有效实施民事案件审判监督，维护司法公正和司法权威，保障国家法律的统一正确实施</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抗诉案件再审改变率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、刑事执行检察</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32.13</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对刑罚执行、刑事强制措施执行、强制医疗执行等刑事执行活动是否合法实行法律监督，维护刑事执行公平公正，维护刑事执行场所监管秩序稳定、维护刑事被执行人合法权益、维护社会和谐稳定，保障国家法律、法规统一正确实施。</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保障刑罚执行和监管活动的依法有序进行</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全市排名</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、未成年人刑事检察</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理全县检察机关未成年人犯罪案件的审查逮捕、审查起诉工作，依法履行立案监督、侦查活动监督、审判监督、执行监督职能；开展预防未成年人犯罪综合治理工作；依法保护刑事案件未成年被害人的合法权益。</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完成移交未成年人案件侦查监督任务，有效实施未成年人案件审判监督，依法保护刑事案件未成年被害人的合法权益</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出庭意见采纳率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、司法辅助</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保障办案安全；开展全县检察机关技术工作和物证检验、鉴定、审核等工作。</w:t>
            </w:r>
          </w:p>
        </w:tc>
        <w:tc>
          <w:tcPr>
            <w:tcW w:w="2976" w:type="dxa"/>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lang w:eastAsia="zh-CN"/>
              </w:rPr>
              <w:t>二</w:t>
            </w:r>
            <w:r>
              <w:rPr>
                <w:rFonts w:hint="eastAsia" w:ascii="方正书宋_GBK" w:eastAsia="方正书宋_GBK"/>
                <w:b/>
              </w:rPr>
              <w:t>、控告和刑事申诉检察</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21.13</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受理来信来访、举报、国家赔偿、司法救助工作，受理民事监督案件，办理县院管辖的信访、举报案件、国家赔偿、司法救助案件以及上级机关交办、转办、督办案件。</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保护公民、法人和其他单位的合法权益，促进司法公正，维护社会稳定</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、涉检信访办理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21.13</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统一受理报案、控告、举报、申诉和犯罪嫌疑人投案自首，办理对公检法三机关及工作人员阻碍辩护人、诉讼代理人依法行使诉讼权利的控告或申诉，办理对本院办案中违法行为的控告或申诉，受理民事监督案件。</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构建依法有序信访秩序，及时依法解决群众诉求</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涉检信访案件办结率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、举报管理、涉检国家赔偿和司法救助</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受理初核对国家工作人员职务犯罪的举报；统一办理人民检察院作为赔偿义务机关的刑事赔偿案件，对人民法院赔偿委员会判决、裁定进行监督，开展司法救助工作。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加强和改进举报工作，保护申诉人合法权益，保护被赔偿人和被救助人合法权益</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息诉罢访率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lang w:eastAsia="zh-CN"/>
              </w:rPr>
              <w:t>三</w:t>
            </w:r>
            <w:r>
              <w:rPr>
                <w:rFonts w:hint="eastAsia" w:ascii="方正书宋_GBK" w:eastAsia="方正书宋_GBK"/>
                <w:b/>
              </w:rPr>
              <w:t>、检察事务管理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851.28</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承担系统综合业务管理和综合事务管理工作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确保全年各项检察工作圆满完成</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76.00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定全县检察阶段性的工作重点和措施，部署检察工作任务；进行案件质量保证体系建设；开展涉农检察工作；参与社会管理综合治理等工作；推进行政执法与刑事司法无缝对接；进行法律政策研究工作；加强人民监督员和人大代表监督；统筹进行网络信息化建设；开展检察宣传工作；推进检务公开。</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提高执法水平和办案质量、提升检察机关法律监督能力</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各项检察综合业务管理工作完成率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775.28</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开展全县检察人员的教育培训工作和对外交流工作；进行检察装备建设及维护；配备制式检察服装及法警服装；进行基础设施建设和维护。</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为检察工作顺利开展提供检务保障</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各项检务保障工作完成率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75%</w:t>
            </w:r>
          </w:p>
        </w:tc>
      </w:tr>
      <w:bookmarkEnd w:id="0"/>
    </w:tbl>
    <w:p>
      <w:pPr>
        <w:ind w:firstLine="640"/>
        <w:rPr>
          <w:rFonts w:hint="eastAsia" w:ascii="黑体" w:hAnsi="黑体" w:eastAsia="黑体" w:cs="黑体"/>
          <w:sz w:val="32"/>
          <w:szCs w:val="32"/>
        </w:rPr>
      </w:pPr>
      <w:r>
        <w:rPr>
          <w:rFonts w:hint="eastAsia" w:ascii="黑体" w:hAnsi="黑体" w:eastAsia="黑体" w:cs="黑体"/>
          <w:sz w:val="32"/>
          <w:szCs w:val="32"/>
        </w:rPr>
        <w:t>六、政府采购预算情况</w:t>
      </w:r>
    </w:p>
    <w:p>
      <w:pPr>
        <w:outlineLvl w:val="0"/>
        <w:rPr>
          <w:rFonts w:hint="eastAsia" w:ascii="仿宋" w:hAnsi="仿宋" w:eastAsia="仿宋" w:cs="仿宋"/>
          <w:color w:val="000000"/>
          <w:sz w:val="32"/>
          <w:szCs w:val="32"/>
        </w:rPr>
      </w:pPr>
      <w:bookmarkStart w:id="2" w:name="_Toc471398468"/>
      <w:r>
        <w:rPr>
          <w:rFonts w:hint="eastAsia" w:ascii="仿宋_GB2312" w:hAnsi="仿宋_GB2312" w:eastAsia="仿宋_GB2312" w:cs="仿宋_GB2312"/>
          <w:sz w:val="32"/>
          <w:szCs w:val="24"/>
          <w:lang w:val="en-US" w:eastAsia="zh-CN"/>
        </w:rPr>
        <w:t xml:space="preserve">    </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年，我</w:t>
      </w:r>
      <w:r>
        <w:rPr>
          <w:rFonts w:hint="eastAsia" w:ascii="仿宋" w:hAnsi="仿宋" w:eastAsia="仿宋" w:cs="仿宋"/>
          <w:color w:val="000000"/>
          <w:sz w:val="32"/>
          <w:szCs w:val="32"/>
          <w:lang w:eastAsia="zh-CN"/>
        </w:rPr>
        <w:t>部门</w:t>
      </w:r>
      <w:r>
        <w:rPr>
          <w:rFonts w:hint="eastAsia" w:ascii="仿宋" w:hAnsi="仿宋" w:eastAsia="仿宋" w:cs="仿宋"/>
          <w:color w:val="000000"/>
          <w:sz w:val="32"/>
          <w:szCs w:val="32"/>
        </w:rPr>
        <w:t>安排政府采购预算</w:t>
      </w:r>
      <w:r>
        <w:rPr>
          <w:rFonts w:hint="eastAsia" w:ascii="仿宋" w:hAnsi="仿宋" w:eastAsia="仿宋" w:cs="仿宋"/>
          <w:b/>
          <w:color w:val="000000"/>
          <w:sz w:val="32"/>
          <w:szCs w:val="32"/>
          <w:lang w:val="en-US" w:eastAsia="zh-CN"/>
        </w:rPr>
        <w:t>317.34</w:t>
      </w:r>
      <w:r>
        <w:rPr>
          <w:rFonts w:hint="eastAsia" w:ascii="仿宋" w:hAnsi="仿宋" w:eastAsia="仿宋" w:cs="仿宋"/>
          <w:color w:val="000000"/>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2"/>
    </w:p>
    <w:tbl>
      <w:tblPr>
        <w:tblStyle w:val="4"/>
        <w:tblW w:w="144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1256"/>
        <w:gridCol w:w="825"/>
        <w:gridCol w:w="1095"/>
        <w:gridCol w:w="570"/>
        <w:gridCol w:w="632"/>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小标宋_GBK" w:hAnsi="Times New Roman" w:eastAsia="方正小标宋_GBK" w:cs="Times New Roman"/>
                <w:sz w:val="24"/>
                <w:szCs w:val="24"/>
                <w:lang w:val="en-US" w:eastAsia="zh-CN"/>
              </w:rPr>
            </w:pPr>
            <w:r>
              <w:rPr>
                <w:rFonts w:hint="eastAsia" w:ascii="方正小标宋_GBK" w:hAnsi="Times New Roman" w:eastAsia="方正小标宋_GBK" w:cs="Times New Roman"/>
                <w:sz w:val="24"/>
                <w:szCs w:val="24"/>
                <w:lang w:val="en-US" w:eastAsia="zh-CN"/>
              </w:rPr>
              <w:t>151大城县人民检察院</w:t>
            </w:r>
          </w:p>
        </w:tc>
        <w:tc>
          <w:tcPr>
            <w:tcW w:w="6103"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7" w:type="dxa"/>
            <w:gridSpan w:val="2"/>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879"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1398"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879"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879"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902"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6103" w:type="dxa"/>
            <w:gridSpan w:val="7"/>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tblHeader/>
          <w:jc w:val="center"/>
        </w:trPr>
        <w:tc>
          <w:tcPr>
            <w:tcW w:w="2391"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066"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879" w:type="dxa"/>
            <w:vMerge w:val="continue"/>
            <w:vAlign w:val="center"/>
          </w:tcPr>
          <w:p>
            <w:pPr>
              <w:spacing w:line="300" w:lineRule="exact"/>
              <w:jc w:val="left"/>
              <w:outlineLvl w:val="0"/>
              <w:rPr>
                <w:rFonts w:ascii="Times New Roman" w:hAnsi="Times New Roman" w:eastAsia="宋体" w:cs="Times New Roman"/>
                <w:szCs w:val="24"/>
              </w:rPr>
            </w:pPr>
          </w:p>
        </w:tc>
        <w:tc>
          <w:tcPr>
            <w:tcW w:w="1398" w:type="dxa"/>
            <w:vMerge w:val="continue"/>
            <w:vAlign w:val="center"/>
          </w:tcPr>
          <w:p>
            <w:pPr>
              <w:spacing w:line="300" w:lineRule="exact"/>
              <w:jc w:val="left"/>
              <w:outlineLvl w:val="0"/>
              <w:rPr>
                <w:rFonts w:ascii="Times New Roman" w:hAnsi="Times New Roman" w:eastAsia="宋体" w:cs="Times New Roman"/>
                <w:szCs w:val="24"/>
              </w:rPr>
            </w:pPr>
          </w:p>
        </w:tc>
        <w:tc>
          <w:tcPr>
            <w:tcW w:w="879" w:type="dxa"/>
            <w:vMerge w:val="continue"/>
            <w:vAlign w:val="center"/>
          </w:tcPr>
          <w:p>
            <w:pPr>
              <w:spacing w:line="300" w:lineRule="exact"/>
              <w:jc w:val="left"/>
              <w:outlineLvl w:val="0"/>
              <w:rPr>
                <w:rFonts w:ascii="Times New Roman" w:hAnsi="Times New Roman" w:eastAsia="宋体" w:cs="Times New Roman"/>
                <w:szCs w:val="24"/>
              </w:rPr>
            </w:pPr>
          </w:p>
        </w:tc>
        <w:tc>
          <w:tcPr>
            <w:tcW w:w="879" w:type="dxa"/>
            <w:vMerge w:val="continue"/>
            <w:vAlign w:val="center"/>
          </w:tcPr>
          <w:p>
            <w:pPr>
              <w:spacing w:line="300" w:lineRule="exact"/>
              <w:jc w:val="left"/>
              <w:outlineLvl w:val="0"/>
              <w:rPr>
                <w:rFonts w:ascii="Times New Roman" w:hAnsi="Times New Roman" w:eastAsia="宋体" w:cs="Times New Roman"/>
                <w:szCs w:val="24"/>
              </w:rPr>
            </w:pPr>
          </w:p>
        </w:tc>
        <w:tc>
          <w:tcPr>
            <w:tcW w:w="902" w:type="dxa"/>
            <w:vMerge w:val="continue"/>
            <w:vAlign w:val="center"/>
          </w:tcPr>
          <w:p>
            <w:pPr>
              <w:spacing w:line="300" w:lineRule="exact"/>
              <w:jc w:val="left"/>
              <w:outlineLvl w:val="0"/>
              <w:rPr>
                <w:rFonts w:ascii="Times New Roman" w:hAnsi="Times New Roman" w:eastAsia="宋体" w:cs="Times New Roman"/>
                <w:szCs w:val="24"/>
              </w:rPr>
            </w:pPr>
          </w:p>
        </w:tc>
        <w:tc>
          <w:tcPr>
            <w:tcW w:w="899"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4378" w:type="dxa"/>
            <w:gridSpan w:val="5"/>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826"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10" w:hRule="atLeast"/>
          <w:tblHeader/>
          <w:jc w:val="center"/>
        </w:trPr>
        <w:tc>
          <w:tcPr>
            <w:tcW w:w="2391" w:type="dxa"/>
            <w:vMerge w:val="continue"/>
            <w:vAlign w:val="center"/>
          </w:tcPr>
          <w:p>
            <w:pPr>
              <w:spacing w:line="300" w:lineRule="exact"/>
              <w:jc w:val="left"/>
              <w:outlineLvl w:val="0"/>
              <w:rPr>
                <w:rFonts w:ascii="Times New Roman" w:hAnsi="Times New Roman" w:eastAsia="宋体" w:cs="Times New Roman"/>
                <w:szCs w:val="24"/>
              </w:rPr>
            </w:pPr>
          </w:p>
        </w:tc>
        <w:tc>
          <w:tcPr>
            <w:tcW w:w="1066" w:type="dxa"/>
            <w:vMerge w:val="continue"/>
            <w:vAlign w:val="center"/>
          </w:tcPr>
          <w:p>
            <w:pPr>
              <w:spacing w:line="300" w:lineRule="exact"/>
              <w:jc w:val="left"/>
              <w:outlineLvl w:val="0"/>
              <w:rPr>
                <w:rFonts w:ascii="Times New Roman" w:hAnsi="Times New Roman" w:eastAsia="宋体" w:cs="Times New Roman"/>
                <w:szCs w:val="24"/>
              </w:rPr>
            </w:pPr>
          </w:p>
        </w:tc>
        <w:tc>
          <w:tcPr>
            <w:tcW w:w="879" w:type="dxa"/>
            <w:vMerge w:val="continue"/>
            <w:vAlign w:val="center"/>
          </w:tcPr>
          <w:p>
            <w:pPr>
              <w:spacing w:line="300" w:lineRule="exact"/>
              <w:jc w:val="left"/>
              <w:outlineLvl w:val="0"/>
              <w:rPr>
                <w:rFonts w:ascii="Times New Roman" w:hAnsi="Times New Roman" w:eastAsia="宋体" w:cs="Times New Roman"/>
                <w:szCs w:val="24"/>
              </w:rPr>
            </w:pPr>
          </w:p>
        </w:tc>
        <w:tc>
          <w:tcPr>
            <w:tcW w:w="1398" w:type="dxa"/>
            <w:vMerge w:val="continue"/>
            <w:vAlign w:val="center"/>
          </w:tcPr>
          <w:p>
            <w:pPr>
              <w:spacing w:line="300" w:lineRule="exact"/>
              <w:jc w:val="left"/>
              <w:outlineLvl w:val="0"/>
              <w:rPr>
                <w:rFonts w:ascii="Times New Roman" w:hAnsi="Times New Roman" w:eastAsia="宋体" w:cs="Times New Roman"/>
                <w:szCs w:val="24"/>
              </w:rPr>
            </w:pPr>
          </w:p>
        </w:tc>
        <w:tc>
          <w:tcPr>
            <w:tcW w:w="879" w:type="dxa"/>
            <w:vMerge w:val="continue"/>
            <w:vAlign w:val="center"/>
          </w:tcPr>
          <w:p>
            <w:pPr>
              <w:spacing w:line="300" w:lineRule="exact"/>
              <w:jc w:val="left"/>
              <w:outlineLvl w:val="0"/>
              <w:rPr>
                <w:rFonts w:ascii="Times New Roman" w:hAnsi="Times New Roman" w:eastAsia="宋体" w:cs="Times New Roman"/>
                <w:szCs w:val="24"/>
              </w:rPr>
            </w:pPr>
          </w:p>
        </w:tc>
        <w:tc>
          <w:tcPr>
            <w:tcW w:w="879" w:type="dxa"/>
            <w:vMerge w:val="continue"/>
            <w:vAlign w:val="center"/>
          </w:tcPr>
          <w:p>
            <w:pPr>
              <w:spacing w:line="300" w:lineRule="exact"/>
              <w:jc w:val="left"/>
              <w:outlineLvl w:val="0"/>
              <w:rPr>
                <w:rFonts w:ascii="Times New Roman" w:hAnsi="Times New Roman" w:eastAsia="宋体" w:cs="Times New Roman"/>
                <w:szCs w:val="24"/>
              </w:rPr>
            </w:pPr>
          </w:p>
        </w:tc>
        <w:tc>
          <w:tcPr>
            <w:tcW w:w="902" w:type="dxa"/>
            <w:vMerge w:val="continue"/>
            <w:vAlign w:val="center"/>
          </w:tcPr>
          <w:p>
            <w:pPr>
              <w:spacing w:line="300" w:lineRule="exact"/>
              <w:jc w:val="left"/>
              <w:outlineLvl w:val="0"/>
              <w:rPr>
                <w:rFonts w:ascii="Times New Roman" w:hAnsi="Times New Roman" w:eastAsia="宋体" w:cs="Times New Roman"/>
                <w:szCs w:val="24"/>
              </w:rPr>
            </w:pPr>
          </w:p>
        </w:tc>
        <w:tc>
          <w:tcPr>
            <w:tcW w:w="899" w:type="dxa"/>
            <w:vMerge w:val="continue"/>
            <w:vAlign w:val="center"/>
          </w:tcPr>
          <w:p>
            <w:pPr>
              <w:spacing w:line="300" w:lineRule="exact"/>
              <w:jc w:val="left"/>
              <w:outlineLvl w:val="0"/>
              <w:rPr>
                <w:rFonts w:ascii="Times New Roman" w:hAnsi="Times New Roman" w:eastAsia="宋体" w:cs="Times New Roman"/>
                <w:szCs w:val="24"/>
              </w:rPr>
            </w:pPr>
          </w:p>
        </w:tc>
        <w:tc>
          <w:tcPr>
            <w:tcW w:w="1256"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825"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1095"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570"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632"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826" w:type="dxa"/>
            <w:vMerge w:val="continue"/>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1"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1066" w:type="dxa"/>
            <w:vAlign w:val="center"/>
          </w:tcPr>
          <w:p>
            <w:pPr>
              <w:spacing w:line="300" w:lineRule="exact"/>
              <w:jc w:val="right"/>
              <w:rPr>
                <w:rFonts w:ascii="方正书宋_GBK" w:hAnsi="Times New Roman" w:eastAsia="方正书宋_GBK" w:cs="Times New Roman"/>
                <w:b/>
                <w:szCs w:val="24"/>
              </w:rPr>
            </w:pPr>
          </w:p>
        </w:tc>
        <w:tc>
          <w:tcPr>
            <w:tcW w:w="879" w:type="dxa"/>
            <w:vAlign w:val="center"/>
          </w:tcPr>
          <w:p>
            <w:pPr>
              <w:spacing w:line="300" w:lineRule="exact"/>
              <w:jc w:val="left"/>
              <w:rPr>
                <w:rFonts w:ascii="方正书宋_GBK" w:hAnsi="Times New Roman" w:eastAsia="方正书宋_GBK" w:cs="Times New Roman"/>
                <w:b/>
                <w:szCs w:val="24"/>
              </w:rPr>
            </w:pPr>
          </w:p>
        </w:tc>
        <w:tc>
          <w:tcPr>
            <w:tcW w:w="1398" w:type="dxa"/>
            <w:vAlign w:val="center"/>
          </w:tcPr>
          <w:p>
            <w:pPr>
              <w:spacing w:line="300" w:lineRule="exact"/>
              <w:jc w:val="left"/>
              <w:rPr>
                <w:rFonts w:ascii="方正书宋_GBK" w:hAnsi="Times New Roman" w:eastAsia="方正书宋_GBK" w:cs="Times New Roman"/>
                <w:b/>
                <w:szCs w:val="24"/>
              </w:rPr>
            </w:pPr>
          </w:p>
        </w:tc>
        <w:tc>
          <w:tcPr>
            <w:tcW w:w="879" w:type="dxa"/>
            <w:vAlign w:val="center"/>
          </w:tcPr>
          <w:p>
            <w:pPr>
              <w:spacing w:line="300" w:lineRule="exact"/>
              <w:jc w:val="left"/>
              <w:rPr>
                <w:rFonts w:ascii="方正书宋_GBK" w:hAnsi="Times New Roman" w:eastAsia="方正书宋_GBK" w:cs="Times New Roman"/>
                <w:b/>
                <w:szCs w:val="24"/>
              </w:rPr>
            </w:pPr>
          </w:p>
        </w:tc>
        <w:tc>
          <w:tcPr>
            <w:tcW w:w="879" w:type="dxa"/>
            <w:vAlign w:val="center"/>
          </w:tcPr>
          <w:p>
            <w:pPr>
              <w:spacing w:line="300" w:lineRule="exact"/>
              <w:jc w:val="right"/>
              <w:rPr>
                <w:rFonts w:ascii="方正书宋_GBK" w:hAnsi="Times New Roman" w:eastAsia="方正书宋_GBK" w:cs="Times New Roman"/>
                <w:b/>
                <w:szCs w:val="24"/>
              </w:rPr>
            </w:pPr>
          </w:p>
        </w:tc>
        <w:tc>
          <w:tcPr>
            <w:tcW w:w="902" w:type="dxa"/>
            <w:vAlign w:val="center"/>
          </w:tcPr>
          <w:p>
            <w:pPr>
              <w:spacing w:line="300" w:lineRule="exact"/>
              <w:jc w:val="right"/>
              <w:rPr>
                <w:rFonts w:ascii="方正书宋_GBK" w:hAnsi="Times New Roman" w:eastAsia="方正书宋_GBK" w:cs="Times New Roman"/>
                <w:b/>
                <w:szCs w:val="24"/>
              </w:rPr>
            </w:pPr>
          </w:p>
        </w:tc>
        <w:tc>
          <w:tcPr>
            <w:tcW w:w="899" w:type="dxa"/>
            <w:vAlign w:val="center"/>
          </w:tcPr>
          <w:p>
            <w:pPr>
              <w:spacing w:line="300" w:lineRule="exact"/>
              <w:jc w:val="right"/>
              <w:rPr>
                <w:rFonts w:ascii="方正书宋_GBK" w:hAnsi="Times New Roman" w:eastAsia="方正书宋_GBK" w:cs="Times New Roman"/>
                <w:b/>
                <w:szCs w:val="24"/>
              </w:rPr>
            </w:pPr>
          </w:p>
        </w:tc>
        <w:tc>
          <w:tcPr>
            <w:tcW w:w="1256" w:type="dxa"/>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eastAsia="方正书宋_GBK"/>
                <w:b/>
                <w:lang w:val="en-US" w:eastAsia="zh-CN"/>
              </w:rPr>
              <w:t>317.34</w:t>
            </w:r>
          </w:p>
        </w:tc>
        <w:tc>
          <w:tcPr>
            <w:tcW w:w="825" w:type="dxa"/>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317.34</w:t>
            </w:r>
          </w:p>
        </w:tc>
        <w:tc>
          <w:tcPr>
            <w:tcW w:w="1095" w:type="dxa"/>
            <w:vAlign w:val="center"/>
          </w:tcPr>
          <w:p>
            <w:pPr>
              <w:spacing w:line="300" w:lineRule="exact"/>
              <w:jc w:val="right"/>
              <w:rPr>
                <w:rFonts w:ascii="方正书宋_GBK" w:hAnsi="Times New Roman" w:eastAsia="方正书宋_GBK" w:cs="Times New Roman"/>
                <w:b/>
                <w:szCs w:val="24"/>
              </w:rPr>
            </w:pPr>
          </w:p>
        </w:tc>
        <w:tc>
          <w:tcPr>
            <w:tcW w:w="570" w:type="dxa"/>
            <w:vAlign w:val="center"/>
          </w:tcPr>
          <w:p>
            <w:pPr>
              <w:spacing w:line="300" w:lineRule="exact"/>
              <w:jc w:val="right"/>
              <w:rPr>
                <w:rFonts w:ascii="方正书宋_GBK" w:hAnsi="Times New Roman" w:eastAsia="方正书宋_GBK" w:cs="Times New Roman"/>
                <w:b/>
                <w:szCs w:val="24"/>
              </w:rPr>
            </w:pPr>
          </w:p>
        </w:tc>
        <w:tc>
          <w:tcPr>
            <w:tcW w:w="632" w:type="dxa"/>
            <w:vAlign w:val="center"/>
          </w:tcPr>
          <w:p>
            <w:pPr>
              <w:spacing w:line="300" w:lineRule="exact"/>
              <w:jc w:val="right"/>
              <w:rPr>
                <w:rFonts w:ascii="方正书宋_GBK" w:hAnsi="Times New Roman" w:eastAsia="方正书宋_GBK" w:cs="Times New Roman"/>
                <w:b/>
                <w:szCs w:val="24"/>
              </w:rPr>
            </w:pPr>
          </w:p>
        </w:tc>
        <w:tc>
          <w:tcPr>
            <w:tcW w:w="826" w:type="dxa"/>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1"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办公楼节能改造工程</w:t>
            </w:r>
          </w:p>
        </w:tc>
        <w:tc>
          <w:tcPr>
            <w:tcW w:w="1066"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66.53</w:t>
            </w:r>
          </w:p>
        </w:tc>
        <w:tc>
          <w:tcPr>
            <w:tcW w:w="879"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修缮工程</w:t>
            </w:r>
          </w:p>
        </w:tc>
        <w:tc>
          <w:tcPr>
            <w:tcW w:w="1398" w:type="dxa"/>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B08</w:t>
            </w:r>
          </w:p>
        </w:tc>
        <w:tc>
          <w:tcPr>
            <w:tcW w:w="879" w:type="dxa"/>
            <w:vAlign w:val="center"/>
          </w:tcPr>
          <w:p>
            <w:pPr>
              <w:spacing w:line="300" w:lineRule="exact"/>
              <w:jc w:val="left"/>
              <w:rPr>
                <w:rFonts w:ascii="方正书宋_GBK" w:hAnsi="Times New Roman" w:eastAsia="方正书宋_GBK" w:cs="Times New Roman"/>
                <w:b/>
                <w:szCs w:val="24"/>
              </w:rPr>
            </w:pPr>
          </w:p>
        </w:tc>
        <w:tc>
          <w:tcPr>
            <w:tcW w:w="879"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02"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66.53</w:t>
            </w:r>
          </w:p>
        </w:tc>
        <w:tc>
          <w:tcPr>
            <w:tcW w:w="899"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66.53</w:t>
            </w:r>
          </w:p>
        </w:tc>
        <w:tc>
          <w:tcPr>
            <w:tcW w:w="1256"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66.53</w:t>
            </w:r>
          </w:p>
        </w:tc>
        <w:tc>
          <w:tcPr>
            <w:tcW w:w="825"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66.53</w:t>
            </w:r>
          </w:p>
        </w:tc>
        <w:tc>
          <w:tcPr>
            <w:tcW w:w="1095" w:type="dxa"/>
            <w:vAlign w:val="center"/>
          </w:tcPr>
          <w:p>
            <w:pPr>
              <w:spacing w:line="300" w:lineRule="exact"/>
              <w:jc w:val="right"/>
              <w:rPr>
                <w:rFonts w:ascii="方正书宋_GBK" w:hAnsi="Times New Roman" w:eastAsia="方正书宋_GBK" w:cs="Times New Roman"/>
                <w:b/>
                <w:szCs w:val="24"/>
              </w:rPr>
            </w:pPr>
          </w:p>
        </w:tc>
        <w:tc>
          <w:tcPr>
            <w:tcW w:w="570" w:type="dxa"/>
            <w:vAlign w:val="center"/>
          </w:tcPr>
          <w:p>
            <w:pPr>
              <w:spacing w:line="300" w:lineRule="exact"/>
              <w:jc w:val="right"/>
              <w:rPr>
                <w:rFonts w:ascii="方正书宋_GBK" w:hAnsi="Times New Roman" w:eastAsia="方正书宋_GBK" w:cs="Times New Roman"/>
                <w:b/>
                <w:szCs w:val="24"/>
              </w:rPr>
            </w:pPr>
          </w:p>
        </w:tc>
        <w:tc>
          <w:tcPr>
            <w:tcW w:w="632" w:type="dxa"/>
            <w:vAlign w:val="center"/>
          </w:tcPr>
          <w:p>
            <w:pPr>
              <w:spacing w:line="300" w:lineRule="exact"/>
              <w:jc w:val="right"/>
              <w:rPr>
                <w:rFonts w:ascii="方正书宋_GBK" w:hAnsi="Times New Roman" w:eastAsia="方正书宋_GBK" w:cs="Times New Roman"/>
                <w:b/>
                <w:szCs w:val="24"/>
              </w:rPr>
            </w:pPr>
          </w:p>
        </w:tc>
        <w:tc>
          <w:tcPr>
            <w:tcW w:w="826" w:type="dxa"/>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1" w:type="dxa"/>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融媒体建设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105.00</w:t>
            </w:r>
          </w:p>
        </w:tc>
        <w:tc>
          <w:tcPr>
            <w:tcW w:w="879" w:type="dxa"/>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其它电子工程安装</w:t>
            </w:r>
          </w:p>
        </w:tc>
        <w:tc>
          <w:tcPr>
            <w:tcW w:w="1398" w:type="dxa"/>
            <w:vAlign w:val="center"/>
          </w:tcPr>
          <w:p>
            <w:pPr>
              <w:spacing w:line="300" w:lineRule="exact"/>
              <w:jc w:val="left"/>
              <w:rPr>
                <w:rFonts w:ascii="方正书宋_GBK" w:hAnsi="Times New Roman" w:eastAsia="方正书宋_GBK" w:cs="Times New Roman"/>
                <w:szCs w:val="24"/>
              </w:rPr>
            </w:pPr>
            <w:r>
              <w:rPr>
                <w:rFonts w:ascii="方正书宋_GBK" w:eastAsia="方正书宋_GBK"/>
              </w:rPr>
              <w:t>B060199</w:t>
            </w:r>
          </w:p>
        </w:tc>
        <w:tc>
          <w:tcPr>
            <w:tcW w:w="879" w:type="dxa"/>
            <w:vAlign w:val="center"/>
          </w:tcPr>
          <w:p>
            <w:pPr>
              <w:spacing w:line="300" w:lineRule="exact"/>
              <w:jc w:val="left"/>
              <w:rPr>
                <w:rFonts w:ascii="方正书宋_GBK" w:hAnsi="Times New Roman" w:eastAsia="方正书宋_GBK" w:cs="Times New Roman"/>
                <w:szCs w:val="24"/>
              </w:rPr>
            </w:pPr>
          </w:p>
        </w:tc>
        <w:tc>
          <w:tcPr>
            <w:tcW w:w="879"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105.00</w:t>
            </w:r>
          </w:p>
        </w:tc>
        <w:tc>
          <w:tcPr>
            <w:tcW w:w="899"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105.00</w:t>
            </w:r>
          </w:p>
        </w:tc>
        <w:tc>
          <w:tcPr>
            <w:tcW w:w="125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105.00</w:t>
            </w:r>
          </w:p>
        </w:tc>
        <w:tc>
          <w:tcPr>
            <w:tcW w:w="82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105.00</w:t>
            </w:r>
          </w:p>
        </w:tc>
        <w:tc>
          <w:tcPr>
            <w:tcW w:w="1095" w:type="dxa"/>
            <w:vAlign w:val="center"/>
          </w:tcPr>
          <w:p>
            <w:pPr>
              <w:spacing w:line="300" w:lineRule="exact"/>
              <w:jc w:val="right"/>
              <w:rPr>
                <w:rFonts w:ascii="方正书宋_GBK" w:hAnsi="Times New Roman" w:eastAsia="方正书宋_GBK" w:cs="Times New Roman"/>
                <w:szCs w:val="24"/>
              </w:rPr>
            </w:pPr>
          </w:p>
        </w:tc>
        <w:tc>
          <w:tcPr>
            <w:tcW w:w="570" w:type="dxa"/>
            <w:vAlign w:val="center"/>
          </w:tcPr>
          <w:p>
            <w:pPr>
              <w:spacing w:line="300" w:lineRule="exact"/>
              <w:jc w:val="right"/>
              <w:rPr>
                <w:rFonts w:ascii="方正书宋_GBK" w:hAnsi="Times New Roman" w:eastAsia="方正书宋_GBK" w:cs="Times New Roman"/>
                <w:szCs w:val="24"/>
              </w:rPr>
            </w:pPr>
          </w:p>
        </w:tc>
        <w:tc>
          <w:tcPr>
            <w:tcW w:w="632"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1" w:type="dxa"/>
            <w:vAlign w:val="center"/>
          </w:tcPr>
          <w:p>
            <w:pPr>
              <w:spacing w:line="300" w:lineRule="exact"/>
              <w:jc w:val="left"/>
              <w:rPr>
                <w:rFonts w:ascii="方正书宋_GBK" w:hAnsi="Times New Roman" w:eastAsia="方正书宋_GBK" w:cs="Times New Roman"/>
                <w:szCs w:val="24"/>
              </w:rPr>
            </w:pPr>
            <w:r>
              <w:rPr>
                <w:rFonts w:ascii="方正书宋_GBK" w:eastAsia="方正书宋_GBK"/>
              </w:rPr>
              <w:t>2019</w:t>
            </w:r>
            <w:r>
              <w:rPr>
                <w:rFonts w:hint="eastAsia" w:ascii="方正书宋_GBK" w:eastAsia="方正书宋_GBK"/>
              </w:rPr>
              <w:t>年度省级基层公检法司转移支付资金</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86.00</w:t>
            </w:r>
          </w:p>
        </w:tc>
        <w:tc>
          <w:tcPr>
            <w:tcW w:w="879" w:type="dxa"/>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扫描仪</w:t>
            </w:r>
          </w:p>
        </w:tc>
        <w:tc>
          <w:tcPr>
            <w:tcW w:w="1398" w:type="dxa"/>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A0201060901</w:t>
            </w:r>
          </w:p>
        </w:tc>
        <w:tc>
          <w:tcPr>
            <w:tcW w:w="879" w:type="dxa"/>
            <w:vAlign w:val="center"/>
          </w:tcPr>
          <w:p>
            <w:pPr>
              <w:spacing w:line="300" w:lineRule="exact"/>
              <w:jc w:val="left"/>
              <w:rPr>
                <w:rFonts w:hint="eastAsia" w:ascii="方正书宋_GBK" w:hAnsi="Times New Roman" w:eastAsia="方正书宋_GBK" w:cs="Times New Roman"/>
                <w:szCs w:val="24"/>
                <w:lang w:eastAsia="zh-CN"/>
              </w:rPr>
            </w:pPr>
            <w:r>
              <w:rPr>
                <w:rFonts w:hint="eastAsia" w:ascii="方正书宋_GBK" w:hAnsi="Times New Roman" w:eastAsia="方正书宋_GBK" w:cs="Times New Roman"/>
                <w:szCs w:val="24"/>
                <w:lang w:eastAsia="zh-CN"/>
              </w:rPr>
              <w:t>台</w:t>
            </w:r>
          </w:p>
        </w:tc>
        <w:tc>
          <w:tcPr>
            <w:tcW w:w="879"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50.00</w:t>
            </w:r>
          </w:p>
        </w:tc>
        <w:tc>
          <w:tcPr>
            <w:tcW w:w="899"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50.00</w:t>
            </w:r>
          </w:p>
        </w:tc>
        <w:tc>
          <w:tcPr>
            <w:tcW w:w="125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50.00</w:t>
            </w:r>
          </w:p>
        </w:tc>
        <w:tc>
          <w:tcPr>
            <w:tcW w:w="82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50.00</w:t>
            </w:r>
          </w:p>
        </w:tc>
        <w:tc>
          <w:tcPr>
            <w:tcW w:w="1095" w:type="dxa"/>
            <w:vAlign w:val="center"/>
          </w:tcPr>
          <w:p>
            <w:pPr>
              <w:spacing w:line="300" w:lineRule="exact"/>
              <w:jc w:val="right"/>
              <w:rPr>
                <w:rFonts w:ascii="方正书宋_GBK" w:hAnsi="Times New Roman" w:eastAsia="方正书宋_GBK" w:cs="Times New Roman"/>
                <w:szCs w:val="24"/>
              </w:rPr>
            </w:pPr>
          </w:p>
        </w:tc>
        <w:tc>
          <w:tcPr>
            <w:tcW w:w="570" w:type="dxa"/>
            <w:vAlign w:val="center"/>
          </w:tcPr>
          <w:p>
            <w:pPr>
              <w:spacing w:line="300" w:lineRule="exact"/>
              <w:jc w:val="right"/>
              <w:rPr>
                <w:rFonts w:ascii="方正书宋_GBK" w:hAnsi="Times New Roman" w:eastAsia="方正书宋_GBK" w:cs="Times New Roman"/>
                <w:szCs w:val="24"/>
              </w:rPr>
            </w:pPr>
          </w:p>
        </w:tc>
        <w:tc>
          <w:tcPr>
            <w:tcW w:w="632"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1" w:type="dxa"/>
            <w:vAlign w:val="center"/>
          </w:tcPr>
          <w:p>
            <w:pPr>
              <w:spacing w:line="300" w:lineRule="exact"/>
              <w:jc w:val="left"/>
              <w:rPr>
                <w:rFonts w:ascii="方正书宋_GBK" w:hAnsi="Times New Roman" w:eastAsia="方正书宋_GBK" w:cs="Times New Roman"/>
                <w:szCs w:val="24"/>
              </w:rPr>
            </w:pPr>
            <w:r>
              <w:rPr>
                <w:rFonts w:ascii="方正书宋_GBK" w:eastAsia="方正书宋_GBK"/>
              </w:rPr>
              <w:t>2019</w:t>
            </w:r>
            <w:r>
              <w:rPr>
                <w:rFonts w:hint="eastAsia" w:ascii="方正书宋_GBK" w:eastAsia="方正书宋_GBK"/>
              </w:rPr>
              <w:t>年度省级基层公检法司转移支付资金</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86.00</w:t>
            </w:r>
          </w:p>
        </w:tc>
        <w:tc>
          <w:tcPr>
            <w:tcW w:w="879" w:type="dxa"/>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空调机</w:t>
            </w:r>
          </w:p>
        </w:tc>
        <w:tc>
          <w:tcPr>
            <w:tcW w:w="1398" w:type="dxa"/>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A0206180203</w:t>
            </w:r>
          </w:p>
        </w:tc>
        <w:tc>
          <w:tcPr>
            <w:tcW w:w="879" w:type="dxa"/>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lang w:eastAsia="zh-CN"/>
              </w:rPr>
              <w:t>台</w:t>
            </w:r>
          </w:p>
        </w:tc>
        <w:tc>
          <w:tcPr>
            <w:tcW w:w="879"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w:t>
            </w:r>
          </w:p>
        </w:tc>
        <w:tc>
          <w:tcPr>
            <w:tcW w:w="9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0.32</w:t>
            </w:r>
          </w:p>
        </w:tc>
        <w:tc>
          <w:tcPr>
            <w:tcW w:w="899"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w:t>
            </w:r>
          </w:p>
        </w:tc>
        <w:tc>
          <w:tcPr>
            <w:tcW w:w="125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w:t>
            </w:r>
          </w:p>
        </w:tc>
        <w:tc>
          <w:tcPr>
            <w:tcW w:w="82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w:t>
            </w:r>
          </w:p>
        </w:tc>
        <w:tc>
          <w:tcPr>
            <w:tcW w:w="1095" w:type="dxa"/>
            <w:vAlign w:val="center"/>
          </w:tcPr>
          <w:p>
            <w:pPr>
              <w:spacing w:line="300" w:lineRule="exact"/>
              <w:jc w:val="right"/>
              <w:rPr>
                <w:rFonts w:ascii="方正书宋_GBK" w:hAnsi="Times New Roman" w:eastAsia="方正书宋_GBK" w:cs="Times New Roman"/>
                <w:szCs w:val="24"/>
              </w:rPr>
            </w:pPr>
          </w:p>
        </w:tc>
        <w:tc>
          <w:tcPr>
            <w:tcW w:w="570" w:type="dxa"/>
            <w:vAlign w:val="center"/>
          </w:tcPr>
          <w:p>
            <w:pPr>
              <w:spacing w:line="300" w:lineRule="exact"/>
              <w:jc w:val="right"/>
              <w:rPr>
                <w:rFonts w:ascii="方正书宋_GBK" w:hAnsi="Times New Roman" w:eastAsia="方正书宋_GBK" w:cs="Times New Roman"/>
                <w:szCs w:val="24"/>
              </w:rPr>
            </w:pPr>
          </w:p>
        </w:tc>
        <w:tc>
          <w:tcPr>
            <w:tcW w:w="632"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1" w:type="dxa"/>
            <w:vAlign w:val="center"/>
          </w:tcPr>
          <w:p>
            <w:pPr>
              <w:spacing w:line="300" w:lineRule="exact"/>
              <w:jc w:val="left"/>
              <w:rPr>
                <w:rFonts w:ascii="方正书宋_GBK" w:hAnsi="Times New Roman" w:eastAsia="方正书宋_GBK" w:cs="Times New Roman"/>
                <w:szCs w:val="24"/>
              </w:rPr>
            </w:pPr>
            <w:r>
              <w:rPr>
                <w:rFonts w:ascii="方正书宋_GBK" w:eastAsia="方正书宋_GBK"/>
              </w:rPr>
              <w:t>2019</w:t>
            </w:r>
            <w:r>
              <w:rPr>
                <w:rFonts w:hint="eastAsia" w:ascii="方正书宋_GBK" w:eastAsia="方正书宋_GBK"/>
              </w:rPr>
              <w:t>年度省级基层公检法司转移支付资金</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86.00</w:t>
            </w:r>
          </w:p>
        </w:tc>
        <w:tc>
          <w:tcPr>
            <w:tcW w:w="879" w:type="dxa"/>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空调机</w:t>
            </w:r>
          </w:p>
        </w:tc>
        <w:tc>
          <w:tcPr>
            <w:tcW w:w="1398" w:type="dxa"/>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A0206180203</w:t>
            </w:r>
          </w:p>
        </w:tc>
        <w:tc>
          <w:tcPr>
            <w:tcW w:w="879" w:type="dxa"/>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lang w:eastAsia="zh-CN"/>
              </w:rPr>
              <w:t>台</w:t>
            </w:r>
          </w:p>
        </w:tc>
        <w:tc>
          <w:tcPr>
            <w:tcW w:w="879"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w:t>
            </w:r>
          </w:p>
        </w:tc>
        <w:tc>
          <w:tcPr>
            <w:tcW w:w="9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0.59</w:t>
            </w:r>
          </w:p>
        </w:tc>
        <w:tc>
          <w:tcPr>
            <w:tcW w:w="899"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8.85</w:t>
            </w:r>
          </w:p>
        </w:tc>
        <w:tc>
          <w:tcPr>
            <w:tcW w:w="125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8.85</w:t>
            </w:r>
          </w:p>
        </w:tc>
        <w:tc>
          <w:tcPr>
            <w:tcW w:w="82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8.85</w:t>
            </w:r>
          </w:p>
        </w:tc>
        <w:tc>
          <w:tcPr>
            <w:tcW w:w="1095" w:type="dxa"/>
            <w:vAlign w:val="center"/>
          </w:tcPr>
          <w:p>
            <w:pPr>
              <w:spacing w:line="300" w:lineRule="exact"/>
              <w:jc w:val="right"/>
              <w:rPr>
                <w:rFonts w:ascii="方正书宋_GBK" w:hAnsi="Times New Roman" w:eastAsia="方正书宋_GBK" w:cs="Times New Roman"/>
                <w:szCs w:val="24"/>
              </w:rPr>
            </w:pPr>
          </w:p>
        </w:tc>
        <w:tc>
          <w:tcPr>
            <w:tcW w:w="570" w:type="dxa"/>
            <w:vAlign w:val="center"/>
          </w:tcPr>
          <w:p>
            <w:pPr>
              <w:spacing w:line="300" w:lineRule="exact"/>
              <w:jc w:val="right"/>
              <w:rPr>
                <w:rFonts w:ascii="方正书宋_GBK" w:hAnsi="Times New Roman" w:eastAsia="方正书宋_GBK" w:cs="Times New Roman"/>
                <w:szCs w:val="24"/>
              </w:rPr>
            </w:pPr>
          </w:p>
        </w:tc>
        <w:tc>
          <w:tcPr>
            <w:tcW w:w="632"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1" w:type="dxa"/>
            <w:vAlign w:val="center"/>
          </w:tcPr>
          <w:p>
            <w:pPr>
              <w:spacing w:line="300" w:lineRule="exact"/>
              <w:jc w:val="left"/>
              <w:rPr>
                <w:rFonts w:ascii="方正书宋_GBK" w:hAnsi="Times New Roman" w:eastAsia="方正书宋_GBK" w:cs="Times New Roman"/>
                <w:szCs w:val="24"/>
              </w:rPr>
            </w:pPr>
            <w:r>
              <w:rPr>
                <w:rFonts w:ascii="方正书宋_GBK" w:eastAsia="方正书宋_GBK"/>
              </w:rPr>
              <w:t>2019</w:t>
            </w:r>
            <w:r>
              <w:rPr>
                <w:rFonts w:hint="eastAsia" w:ascii="方正书宋_GBK" w:eastAsia="方正书宋_GBK"/>
              </w:rPr>
              <w:t>年度省级基层公检法司转移支付资金</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86.00</w:t>
            </w:r>
          </w:p>
        </w:tc>
        <w:tc>
          <w:tcPr>
            <w:tcW w:w="879" w:type="dxa"/>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空调机</w:t>
            </w:r>
          </w:p>
        </w:tc>
        <w:tc>
          <w:tcPr>
            <w:tcW w:w="1398" w:type="dxa"/>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A0206180203</w:t>
            </w:r>
          </w:p>
        </w:tc>
        <w:tc>
          <w:tcPr>
            <w:tcW w:w="879" w:type="dxa"/>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lang w:eastAsia="zh-CN"/>
              </w:rPr>
              <w:t>台</w:t>
            </w:r>
          </w:p>
        </w:tc>
        <w:tc>
          <w:tcPr>
            <w:tcW w:w="879"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9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0.71</w:t>
            </w:r>
          </w:p>
        </w:tc>
        <w:tc>
          <w:tcPr>
            <w:tcW w:w="899"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4.26</w:t>
            </w:r>
          </w:p>
        </w:tc>
        <w:tc>
          <w:tcPr>
            <w:tcW w:w="125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4.26</w:t>
            </w:r>
          </w:p>
        </w:tc>
        <w:tc>
          <w:tcPr>
            <w:tcW w:w="82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4.26</w:t>
            </w:r>
          </w:p>
        </w:tc>
        <w:tc>
          <w:tcPr>
            <w:tcW w:w="1095" w:type="dxa"/>
            <w:vAlign w:val="center"/>
          </w:tcPr>
          <w:p>
            <w:pPr>
              <w:spacing w:line="300" w:lineRule="exact"/>
              <w:jc w:val="right"/>
              <w:rPr>
                <w:rFonts w:ascii="方正书宋_GBK" w:hAnsi="Times New Roman" w:eastAsia="方正书宋_GBK" w:cs="Times New Roman"/>
                <w:szCs w:val="24"/>
              </w:rPr>
            </w:pPr>
          </w:p>
        </w:tc>
        <w:tc>
          <w:tcPr>
            <w:tcW w:w="570" w:type="dxa"/>
            <w:vAlign w:val="center"/>
          </w:tcPr>
          <w:p>
            <w:pPr>
              <w:spacing w:line="300" w:lineRule="exact"/>
              <w:jc w:val="right"/>
              <w:rPr>
                <w:rFonts w:ascii="方正书宋_GBK" w:hAnsi="Times New Roman" w:eastAsia="方正书宋_GBK" w:cs="Times New Roman"/>
                <w:szCs w:val="24"/>
              </w:rPr>
            </w:pPr>
          </w:p>
        </w:tc>
        <w:tc>
          <w:tcPr>
            <w:tcW w:w="632"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bl>
    <w:p>
      <w:pPr>
        <w:ind w:firstLine="640"/>
        <w:rPr>
          <w:rFonts w:hint="eastAsia" w:ascii="黑体" w:hAnsi="黑体" w:eastAsia="黑体" w:cs="黑体"/>
          <w:sz w:val="32"/>
          <w:szCs w:val="32"/>
        </w:rPr>
      </w:pPr>
      <w:r>
        <w:rPr>
          <w:rFonts w:hint="eastAsia" w:ascii="黑体" w:hAnsi="黑体" w:eastAsia="黑体" w:cs="黑体"/>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lang w:eastAsia="zh-CN"/>
        </w:rPr>
        <w:t>大城县人民检察院</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1760.15</w:t>
      </w:r>
      <w:r>
        <w:rPr>
          <w:rFonts w:hint="eastAsia" w:ascii="仿宋_GB2312" w:hAnsi="黑体" w:eastAsia="仿宋_GB2312" w:cs="Times New Roman"/>
          <w:sz w:val="32"/>
          <w:szCs w:val="32"/>
        </w:rPr>
        <w:t>万元，本年度各单位（</w:t>
      </w:r>
      <w:r>
        <w:rPr>
          <w:rFonts w:hint="eastAsia" w:ascii="仿宋_GB2312" w:hAnsi="黑体" w:eastAsia="仿宋_GB2312" w:cs="Times New Roman"/>
          <w:sz w:val="32"/>
          <w:szCs w:val="32"/>
          <w:lang w:eastAsia="zh-CN"/>
        </w:rPr>
        <w:t>科</w:t>
      </w:r>
      <w:r>
        <w:rPr>
          <w:rFonts w:hint="eastAsia" w:ascii="仿宋_GB2312" w:hAnsi="黑体" w:eastAsia="仿宋_GB2312" w:cs="Times New Roman"/>
          <w:sz w:val="32"/>
          <w:szCs w:val="32"/>
        </w:rPr>
        <w:t>室）拟购置固定资产主要为计算机设备、</w:t>
      </w:r>
      <w:r>
        <w:rPr>
          <w:rFonts w:hint="eastAsia" w:ascii="仿宋_GB2312" w:hAnsi="黑体" w:eastAsia="仿宋_GB2312" w:cs="Times New Roman"/>
          <w:sz w:val="32"/>
          <w:szCs w:val="32"/>
          <w:lang w:eastAsia="zh-CN"/>
        </w:rPr>
        <w:t>扫描</w:t>
      </w:r>
      <w:r>
        <w:rPr>
          <w:rFonts w:hint="eastAsia" w:ascii="仿宋_GB2312" w:hAnsi="黑体" w:eastAsia="仿宋_GB2312" w:cs="Times New Roman"/>
          <w:sz w:val="32"/>
          <w:szCs w:val="32"/>
        </w:rPr>
        <w:t>设备、空调、</w:t>
      </w:r>
      <w:r>
        <w:rPr>
          <w:rFonts w:hint="eastAsia" w:ascii="仿宋_GB2312" w:hAnsi="黑体" w:eastAsia="仿宋_GB2312" w:cs="Times New Roman"/>
          <w:sz w:val="32"/>
          <w:szCs w:val="32"/>
          <w:lang w:eastAsia="zh-CN"/>
        </w:rPr>
        <w:t>电视</w:t>
      </w:r>
      <w:r>
        <w:rPr>
          <w:rFonts w:hint="eastAsia" w:ascii="仿宋_GB2312" w:hAnsi="黑体" w:eastAsia="仿宋_GB2312" w:cs="Times New Roman"/>
          <w:sz w:val="32"/>
          <w:szCs w:val="32"/>
        </w:rPr>
        <w:t>等，已列入政府采购预算。详见</w:t>
      </w:r>
      <w:r>
        <w:rPr>
          <w:rFonts w:hint="eastAsia" w:ascii="仿宋_GB2312" w:hAnsi="黑体" w:eastAsia="仿宋_GB2312" w:cs="Times New Roman"/>
          <w:sz w:val="32"/>
          <w:szCs w:val="32"/>
          <w:lang w:eastAsia="zh-CN"/>
        </w:rPr>
        <w:t>下</w:t>
      </w:r>
      <w:r>
        <w:rPr>
          <w:rFonts w:hint="eastAsia" w:ascii="仿宋_GB2312" w:hAnsi="黑体" w:eastAsia="仿宋_GB2312" w:cs="Times New Roman"/>
          <w:sz w:val="32"/>
          <w:szCs w:val="32"/>
        </w:rPr>
        <w:t>表。</w:t>
      </w:r>
    </w:p>
    <w:tbl>
      <w:tblPr>
        <w:tblStyle w:val="4"/>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lang w:eastAsia="zh-CN"/>
              </w:rPr>
              <w:t>大城县</w:t>
            </w:r>
            <w:r>
              <w:rPr>
                <w:rFonts w:hint="eastAsia" w:ascii="宋体" w:hAnsi="宋体" w:cs="宋体"/>
                <w:b/>
                <w:bCs/>
                <w:kern w:val="0"/>
                <w:sz w:val="32"/>
                <w:szCs w:val="32"/>
                <w:lang w:eastAsia="zh-CN"/>
              </w:rPr>
              <w:t>人民检察院</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lang w:eastAsia="zh-CN"/>
              </w:rPr>
              <w:t>大城县</w:t>
            </w:r>
            <w:r>
              <w:rPr>
                <w:rFonts w:hint="eastAsia" w:ascii="宋体" w:hAnsi="宋体" w:cs="宋体"/>
                <w:kern w:val="0"/>
                <w:sz w:val="22"/>
                <w:lang w:eastAsia="zh-CN"/>
              </w:rPr>
              <w:t>人民检察院</w:t>
            </w:r>
          </w:p>
        </w:tc>
        <w:tc>
          <w:tcPr>
            <w:tcW w:w="5103" w:type="dxa"/>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cs="宋体"/>
                <w:kern w:val="0"/>
                <w:sz w:val="22"/>
                <w:lang w:val="en-US" w:eastAsia="zh-CN"/>
              </w:rPr>
              <w:t>8</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5046</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515.84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1734</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150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11</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210.00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w:t>
            </w:r>
            <w:r>
              <w:rPr>
                <w:rFonts w:hint="eastAsia" w:ascii="宋体" w:hAnsi="宋体" w:eastAsia="宋体" w:cs="宋体"/>
                <w:kern w:val="0"/>
                <w:sz w:val="22"/>
                <w:lang w:val="en-US" w:eastAsia="zh-CN"/>
              </w:rPr>
              <w:t>5</w:t>
            </w:r>
            <w:r>
              <w:rPr>
                <w:rFonts w:hint="eastAsia" w:ascii="宋体" w:hAnsi="宋体" w:eastAsia="宋体" w:cs="宋体"/>
                <w:kern w:val="0"/>
                <w:sz w:val="22"/>
              </w:rPr>
              <w:t>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1034.31</w:t>
            </w:r>
          </w:p>
        </w:tc>
      </w:tr>
    </w:tbl>
    <w:p>
      <w:pPr>
        <w:rPr>
          <w:rFonts w:ascii="仿宋_GB2312" w:hAnsi="黑体" w:eastAsia="仿宋_GB2312" w:cs="Times New Roman"/>
          <w:color w:val="FF0000"/>
          <w:sz w:val="32"/>
          <w:szCs w:val="32"/>
        </w:rPr>
      </w:pPr>
    </w:p>
    <w:p>
      <w:pPr>
        <w:ind w:firstLine="640"/>
        <w:rPr>
          <w:rFonts w:hint="eastAsia" w:ascii="黑体" w:hAnsi="黑体" w:eastAsia="黑体" w:cs="黑体"/>
          <w:sz w:val="32"/>
          <w:szCs w:val="32"/>
        </w:rPr>
      </w:pPr>
      <w:r>
        <w:rPr>
          <w:rFonts w:hint="eastAsia" w:ascii="黑体" w:hAnsi="黑体" w:eastAsia="黑体" w:cs="黑体"/>
          <w:sz w:val="32"/>
          <w:szCs w:val="32"/>
        </w:rPr>
        <w:t>八、名词解释</w:t>
      </w:r>
    </w:p>
    <w:p>
      <w:pPr>
        <w:tabs>
          <w:tab w:val="left" w:pos="11490"/>
        </w:tabs>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1、一般公共预算拨款收入:县级财政当年拨付的资金。</w:t>
      </w:r>
    </w:p>
    <w:p>
      <w:pPr>
        <w:tabs>
          <w:tab w:val="left" w:pos="11490"/>
        </w:tabs>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2、基本支出：为保障机构正常运转，完成日常工作任务，而发生的人员支出和公用支出。</w:t>
      </w:r>
    </w:p>
    <w:p>
      <w:pPr>
        <w:tabs>
          <w:tab w:val="left" w:pos="11490"/>
        </w:tabs>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3、项目支出：是指在基本支出之外，为完成特定行政任务和事业发展目标，而发生的支出。</w:t>
      </w:r>
    </w:p>
    <w:p>
      <w:pPr>
        <w:tabs>
          <w:tab w:val="left" w:pos="11490"/>
        </w:tabs>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tabs>
          <w:tab w:val="left" w:pos="11490"/>
        </w:tabs>
        <w:ind w:firstLine="640" w:firstLineChars="200"/>
        <w:rPr>
          <w:rFonts w:hint="eastAsia" w:ascii="Times New Roman" w:hAnsi="Times New Roman" w:eastAsia="方正仿宋_GBK" w:cs="Times New Roman"/>
          <w:b/>
          <w:sz w:val="32"/>
          <w:szCs w:val="32"/>
        </w:rPr>
      </w:pPr>
      <w:r>
        <w:rPr>
          <w:rFonts w:hint="eastAsia" w:ascii="仿宋_GB2312" w:hAnsi="仿宋_GB2312" w:eastAsia="仿宋_GB2312" w:cs="仿宋_GB2312"/>
          <w:b w:val="0"/>
          <w:bCs/>
          <w:sz w:val="32"/>
          <w:szCs w:val="32"/>
        </w:rPr>
        <w:t>5、“三公”经费：纳入县级预算管理的“三公”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等支出；公务接待费反映单位按规定开支的各类公务接待（含外宾接待）支出。</w:t>
      </w:r>
    </w:p>
    <w:p>
      <w:pPr>
        <w:ind w:firstLine="640"/>
        <w:rPr>
          <w:rFonts w:hint="eastAsia" w:ascii="黑体" w:hAnsi="黑体" w:eastAsia="黑体" w:cs="黑体"/>
          <w:sz w:val="32"/>
          <w:szCs w:val="32"/>
        </w:rPr>
      </w:pPr>
      <w:r>
        <w:rPr>
          <w:rFonts w:hint="eastAsia" w:ascii="黑体" w:hAnsi="黑体" w:eastAsia="黑体" w:cs="黑体"/>
          <w:sz w:val="32"/>
          <w:szCs w:val="32"/>
        </w:rPr>
        <w:t>九、其</w:t>
      </w:r>
      <w:r>
        <w:rPr>
          <w:rFonts w:hint="eastAsia" w:ascii="黑体" w:hAnsi="黑体" w:eastAsia="黑体" w:cs="黑体"/>
          <w:sz w:val="32"/>
          <w:szCs w:val="32"/>
          <w:lang w:eastAsia="zh-CN"/>
        </w:rPr>
        <w:t>他</w:t>
      </w:r>
      <w:r>
        <w:rPr>
          <w:rFonts w:hint="eastAsia" w:ascii="黑体" w:hAnsi="黑体" w:eastAsia="黑体" w:cs="黑体"/>
          <w:sz w:val="32"/>
          <w:szCs w:val="32"/>
        </w:rPr>
        <w:t>需要说明的事项</w:t>
      </w:r>
    </w:p>
    <w:p>
      <w:pPr>
        <w:tabs>
          <w:tab w:val="left" w:pos="11490"/>
        </w:tabs>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无</w:t>
      </w:r>
      <w:r>
        <w:rPr>
          <w:rFonts w:hint="eastAsia" w:ascii="仿宋_GB2312" w:hAnsi="仿宋_GB2312" w:eastAsia="仿宋_GB2312" w:cs="仿宋_GB2312"/>
          <w:b w:val="0"/>
          <w:bCs/>
          <w:sz w:val="32"/>
          <w:szCs w:val="32"/>
        </w:rPr>
        <w:t>其他需要说明的事项。</w:t>
      </w:r>
    </w:p>
    <w:p/>
    <w:sectPr>
      <w:pgSz w:w="16838" w:h="11906" w:orient="landscape"/>
      <w:pgMar w:top="1757" w:right="1440" w:bottom="1701" w:left="14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
        <w:rPr>
          <w:rFonts w:hint="eastAs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F2280"/>
    <w:rsid w:val="03A43AAE"/>
    <w:rsid w:val="08982BB6"/>
    <w:rsid w:val="0AFF089F"/>
    <w:rsid w:val="205B2ABE"/>
    <w:rsid w:val="20CF2280"/>
    <w:rsid w:val="241D59BE"/>
    <w:rsid w:val="24BA1CDE"/>
    <w:rsid w:val="3C7B7DAD"/>
    <w:rsid w:val="5C214FA6"/>
    <w:rsid w:val="6CA6089A"/>
    <w:rsid w:val="755C04DA"/>
    <w:rsid w:val="78441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footnote text"/>
    <w:basedOn w:val="1"/>
    <w:semiHidden/>
    <w:qFormat/>
    <w:uiPriority w:val="0"/>
    <w:pPr>
      <w:snapToGrid w:val="0"/>
      <w:jc w:val="left"/>
    </w:pPr>
    <w:rPr>
      <w:sz w:val="18"/>
      <w:szCs w:val="18"/>
    </w:rPr>
  </w:style>
  <w:style w:type="character" w:styleId="6">
    <w:name w:val="page number"/>
    <w:basedOn w:val="5"/>
    <w:qFormat/>
    <w:uiPriority w:val="0"/>
  </w:style>
  <w:style w:type="character" w:styleId="7">
    <w:name w:val="footnote reference"/>
    <w:basedOn w:val="5"/>
    <w:semiHidden/>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2019-03-01T02:42:00Z</dcterms:created>
  <dc:creator>Administrator</dc:creator>
  <cp:lastModifiedBy>86185</cp:lastModifiedBy>
  <dcterms:modified xsi:type="dcterms:W3CDTF">2024-05-21T02:56:53Z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23B50425769B4EF0A08650BCF50944D9</vt:lpwstr>
  </property>
</Properties>
</file>