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大城县北魏镇人民政府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大城县北魏镇人民政府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2"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1、党政综合办公室职责：负责乡镇各部门的综合协调、上传下达、文印收发、信息反馈、档案管理、机关事物等工作；负责基层组织建设、党员教育管理、干部考核与目标管理、老干部管理、农村精神文明建设、机构编制管理等工作；负责人大、工会、妇联、共青团方面工作；负责乡镇信访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2、社会事务办公室职责：负责拥军优惠、复退安置、社会救济、救灾防疫、婚姻管理、殡葬管理工作；负责农村基层民主政治建设、村务公开工作；负责党的民族宗教政策的贯彻落实；负责科技、教育、人力资源和社会保障、卫生、文化、统计、体育、广播、电视、物价等方面工作的协调、管理；监督、指导文化服务中心的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3、经济发展办公室职责：研究制定乡镇经济发展规划并组织实施；负责农村小康建设规划的制定和落实；协调有关部门负责区域内经济调节及市场监督；负责项目建设、招商引资工作；负责农业产业结构调整工作；负责农村土地承包、减轻农民负担管理工作；负责农村资产、资源、资金管理工作；负责环境保护、食品药品、农业、林业、水利、畜牧等方面工作的协调、管理；负责协调辖区内企业、税务、工商、银行、信用社、供销社等工作；负责本乡镇的安全生产监督管理工作；监督、指导企业服务中心、财政所的工作；贯彻执行上级关于乡村规划建设的法律、法规、方针、政策；协助上级规划建设管理部门组织编制乡村建设规划；协助有关部门开展土地的依法管理、宅基地审核申报、交通、乡村道路建设、农田水利基本建设、农村饮水、电信、有</w:t>
      </w:r>
      <w:r>
        <w:rPr>
          <w:rFonts w:hint="eastAsia" w:eastAsia="仿宋_GB2312"/>
          <w:color w:val="333333"/>
          <w:kern w:val="0"/>
          <w:sz w:val="32"/>
          <w:szCs w:val="32"/>
          <w:shd w:val="clear" w:color="auto" w:fill="FFFFFF"/>
          <w:lang w:val="en-US" w:eastAsia="zh-CN"/>
        </w:rPr>
        <w:t>线</w:t>
      </w:r>
      <w:r>
        <w:rPr>
          <w:rFonts w:hint="eastAsia" w:eastAsia="仿宋_GB2312"/>
          <w:color w:val="333333"/>
          <w:kern w:val="0"/>
          <w:sz w:val="32"/>
          <w:szCs w:val="32"/>
          <w:shd w:val="clear" w:color="auto" w:fill="FFFFFF"/>
        </w:rPr>
        <w:t>电视、电网等农村基础设施建设工作。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r>
        <w:rPr>
          <w:rFonts w:hint="eastAsia" w:eastAsia="仿宋_GB2312"/>
          <w:color w:val="333333"/>
          <w:kern w:val="0"/>
          <w:sz w:val="32"/>
          <w:szCs w:val="32"/>
          <w:shd w:val="clear" w:color="auto" w:fill="FFFFFF"/>
        </w:rPr>
        <w:t>4、贯彻落实上级关于社会治安综合治理的法律、法规、方针、政策，组织实施社会治安综合治理各项措施；负责辖区内各部门、各单位落实综合治理工作的组织、指导、检查；负责辖区内矛盾纠纷的调处和应急处置工作；负责协调区内司法所、公安派出所、法庭工作。</w:t>
      </w:r>
    </w:p>
    <w:p>
      <w:pPr>
        <w:autoSpaceDE w:val="0"/>
        <w:autoSpaceDN w:val="0"/>
        <w:snapToGrid w:val="0"/>
        <w:spacing w:line="584" w:lineRule="exact"/>
        <w:ind w:firstLine="640" w:firstLineChars="200"/>
        <w:rPr>
          <w:rFonts w:eastAsia="黑体"/>
          <w:sz w:val="28"/>
          <w:szCs w:val="28"/>
        </w:rPr>
      </w:pPr>
      <w:r>
        <w:rPr>
          <w:rFonts w:hint="eastAsia" w:eastAsia="仿宋_GB2312"/>
          <w:color w:val="333333"/>
          <w:kern w:val="0"/>
          <w:sz w:val="32"/>
          <w:szCs w:val="32"/>
          <w:shd w:val="clear" w:color="auto" w:fill="FFFFFF"/>
        </w:rPr>
        <w:t>5、负责宣传贯彻上级关于人口和计划生育的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40"/>
        <w:gridCol w:w="1514"/>
        <w:gridCol w:w="1705"/>
        <w:gridCol w:w="3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tblHeader/>
          <w:jc w:val="center"/>
        </w:trPr>
        <w:tc>
          <w:tcPr>
            <w:tcW w:w="594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514"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705"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3879"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94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51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705"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87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5940" w:type="dxa"/>
            <w:shd w:val="clear" w:color="auto" w:fill="auto"/>
            <w:vAlign w:val="center"/>
          </w:tcPr>
          <w:p>
            <w:pPr>
              <w:spacing w:line="584" w:lineRule="exact"/>
              <w:jc w:val="center"/>
              <w:rPr>
                <w:rFonts w:hint="eastAsia" w:ascii="Times New Roman" w:hAnsi="Times New Roman" w:eastAsia="仿宋_GB2312" w:cs="Times New Roman"/>
                <w:b w:val="0"/>
                <w:bCs w:val="0"/>
                <w:kern w:val="2"/>
                <w:sz w:val="20"/>
                <w:szCs w:val="21"/>
                <w:lang w:val="en-US" w:eastAsia="zh-CN" w:bidi="ar-SA"/>
              </w:rPr>
            </w:pPr>
            <w:r>
              <w:rPr>
                <w:rFonts w:hint="eastAsia" w:ascii="仿宋" w:hAnsi="仿宋" w:eastAsia="仿宋" w:cs="仿宋"/>
                <w:b w:val="0"/>
                <w:bCs w:val="0"/>
                <w:sz w:val="28"/>
                <w:szCs w:val="28"/>
                <w:lang w:eastAsia="zh-CN"/>
              </w:rPr>
              <w:t>大城县北魏镇人民政府</w:t>
            </w:r>
          </w:p>
        </w:tc>
        <w:tc>
          <w:tcPr>
            <w:tcW w:w="1514" w:type="dxa"/>
            <w:shd w:val="clear" w:color="auto" w:fill="auto"/>
            <w:vAlign w:val="center"/>
          </w:tcPr>
          <w:p>
            <w:pPr>
              <w:spacing w:line="584" w:lineRule="exact"/>
              <w:jc w:val="center"/>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行政</w:t>
            </w:r>
          </w:p>
        </w:tc>
        <w:tc>
          <w:tcPr>
            <w:tcW w:w="1705" w:type="dxa"/>
            <w:shd w:val="clear" w:color="auto" w:fill="auto"/>
            <w:vAlign w:val="center"/>
          </w:tcPr>
          <w:p>
            <w:pPr>
              <w:spacing w:line="584" w:lineRule="exact"/>
              <w:jc w:val="center"/>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正科级</w:t>
            </w:r>
          </w:p>
        </w:tc>
        <w:tc>
          <w:tcPr>
            <w:tcW w:w="3879" w:type="dxa"/>
            <w:shd w:val="clear" w:color="auto" w:fill="auto"/>
            <w:vAlign w:val="center"/>
          </w:tcPr>
          <w:p>
            <w:pPr>
              <w:spacing w:line="584" w:lineRule="exact"/>
              <w:jc w:val="center"/>
              <w:rPr>
                <w:rFonts w:ascii="Times New Roman" w:hAnsi="Times New Roman" w:eastAsia="仿宋_GB2312" w:cs="Times New Roman"/>
                <w:b/>
                <w:color w:val="auto"/>
                <w:kern w:val="2"/>
                <w:sz w:val="21"/>
                <w:szCs w:val="22"/>
                <w:lang w:val="en-US" w:eastAsia="zh-CN" w:bidi="ar-SA"/>
              </w:rPr>
            </w:pPr>
            <w:r>
              <w:rPr>
                <w:rFonts w:ascii="Times New Roman" w:hAnsi="Times New Roman" w:eastAsia="仿宋" w:cs="Times New Roman"/>
                <w:color w:val="auto"/>
                <w:sz w:val="32"/>
                <w:szCs w:val="3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1648.22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1610.02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1405.18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204.84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178.2</w:t>
      </w:r>
      <w:r>
        <w:rPr>
          <w:rFonts w:ascii="Times New Roman" w:hAnsi="Times New Roman" w:eastAsia="仿宋_GB2312" w:cs="Times New Roman"/>
          <w:sz w:val="32"/>
          <w:szCs w:val="32"/>
        </w:rPr>
        <w:t>万元，主要为建档立卡脱贫户生产生活补助金、武装部武装工作经费、农村环境、散乱污及大气污染治理经费等。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1788.22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440.14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380.14</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人员工资调整、人员保险调整</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60</w:t>
      </w:r>
      <w:r>
        <w:rPr>
          <w:rFonts w:ascii="Times New Roman" w:hAnsi="Times New Roman" w:eastAsia="仿宋_GB2312" w:cs="Times New Roman"/>
          <w:sz w:val="32"/>
          <w:szCs w:val="32"/>
          <w:highlight w:val="none"/>
        </w:rPr>
        <w:t>万元，主</w:t>
      </w:r>
      <w:r>
        <w:rPr>
          <w:rFonts w:ascii="Times New Roman" w:hAnsi="Times New Roman" w:eastAsia="仿宋_GB2312" w:cs="Times New Roman"/>
          <w:sz w:val="32"/>
          <w:szCs w:val="32"/>
        </w:rPr>
        <w:t>要为农村环境、散乱污及大气污染治理项目支出。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150.59</w:t>
      </w:r>
      <w:r>
        <w:rPr>
          <w:rFonts w:ascii="Times New Roman" w:hAnsi="Times New Roman" w:eastAsia="仿宋_GB2312" w:cs="Times New Roman"/>
          <w:sz w:val="32"/>
          <w:szCs w:val="32"/>
        </w:rPr>
        <w:t>万元，主要用于办公区的日常维修、办公用房水电费、办公用房取暖费等日常运行支出。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年相比持平，无增减变化；公务接待费增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w:t>
      </w:r>
      <w:r>
        <w:rPr>
          <w:rFonts w:ascii="Times New Roman" w:hAnsi="Times New Roman" w:eastAsia="仿宋_GB2312" w:cs="Times New Roman"/>
          <w:color w:val="auto"/>
          <w:sz w:val="32"/>
          <w:szCs w:val="32"/>
          <w:highlight w:val="none"/>
        </w:rPr>
        <w:t>主要原因是与20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2023年，是“十四五”规划的中坚之年实现中国共产党成立一百年时全面建成小康社会奋斗目标的关键时间节点。</w:t>
      </w:r>
      <w:r>
        <w:rPr>
          <w:rFonts w:hint="eastAsia" w:ascii="Times New Roman" w:hAnsi="Times New Roman" w:eastAsia="仿宋_GB2312" w:cs="Times New Roman"/>
          <w:sz w:val="32"/>
          <w:szCs w:val="32"/>
          <w:highlight w:val="none"/>
          <w:lang w:val="en-US" w:eastAsia="zh-CN"/>
        </w:rPr>
        <w:t>北魏</w:t>
      </w:r>
      <w:r>
        <w:rPr>
          <w:rFonts w:hint="eastAsia" w:ascii="Times New Roman" w:hAnsi="Times New Roman" w:eastAsia="仿宋_GB2312" w:cs="Times New Roman"/>
          <w:sz w:val="32"/>
          <w:szCs w:val="32"/>
          <w:highlight w:val="none"/>
          <w:lang w:eastAsia="zh-CN"/>
        </w:rPr>
        <w:t>镇将全面贯彻党的二十大精神，牢固树立“四个意识”，坚定“四个自信”，坚决做到“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（二）分项绩效目标</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1、妇联工作管理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绩效目标：本项目通过妇联基层组织项目开展，制定的妇联组织建设规划，使全镇形成纵横交错的妇女组织网络。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绩效指标：通过帮助镇区内解决妇女问题10个以上，使妇女干部队伍素质明显提高，把妇女发展作为一项长期性的建设工作，充分调动妇女的积极性，妇女基层组织建设进一步完善。</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2、环境治理管理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绩效目标：通过及时处理镇区出现的生活垃圾、工业垃圾，排查垃圾处理点数量不低于37个。</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绩效指标：宣传环境治理政策，保持镇区环境卫生、整洁，提升群众自觉爱护环境的意识、提升群众生活质量。</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3、党建团建管理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绩效目标：把握党建团建工作重点，切实将党建带团建纳入党建工作总体规划，在抓好党组织建设的同时，加强对团组织的领导，提升党组织坚强的凝聚力和战斗力，带动团组织建设。</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绩效指标：通过开展不低于20次的党建团建活动增强团组织的生机和活力，形成了“党建带团建、团建促党建”的良好局面。</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4、退役军人服务管理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绩效目标：建立健全退役军人服务保障体系，努力做到全覆盖，实现有机构、有编制、有人员、有经费、有保障。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绩效指标：通过开展不低于50次的入村调查帮扶活动切实维护好退役军人合法利益。</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5、乡镇武装部武装管理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绩效目标：建立健全武装部服务保障体系，努力做到全覆盖，实现有机构、有编制、有人员、有经费、有保障。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绩效指标：通过开展不低于50次的入村调查帮扶活动切实维护好退役军人合法利益。</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6、人大代表联络站管理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绩效目标：根通过进一步完善人大代表联络站建设，保障代表在闭会期间开展活动有阵地，联系群众有窗口，执行职务有平台，为促进代表履职活动规范化、制度化、常态化，提供有力保障。</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绩效指标：通过开展不低于20次的入村调查联络活动切实维护好人民群众合法利益。</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7、基层宗教管理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该项目的实施，采取形式多样、内容丰富的宣传方式，对宗教政策、法律法规，民族文化进一步了解，提高了广大群众对宗教的认识，从而正确认识、对待、处理好宗教问题，确保党的宗教政策、法律法规在基层得到全面落实。</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绩效指标：通过开展不低于20次的入村调查联络活动切实维护好宗教领域和谐稳定</w:t>
      </w:r>
    </w:p>
    <w:p>
      <w:pPr>
        <w:spacing w:line="584"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8、扶贫工作管理</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绩效目标：通过实施建档立卡贫困户帮扶项目，改善贫困户在日常生活，解决实际困难，最终实现贫困户不愁吃、不愁穿、保障子女义务教育、基本医疗、保障住房目标。</w:t>
      </w:r>
    </w:p>
    <w:p>
      <w:pPr>
        <w:spacing w:line="584"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绩效指标：通过每户每年2000元补贴标准，按季度准时发放，保障低收入人群的正常生活。</w:t>
      </w:r>
    </w:p>
    <w:p>
      <w:pPr>
        <w:spacing w:line="584"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1、完善制度建设。</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制定并完善《大城县北魏镇人民政府内部控制管理手册》、《大城县北魏镇人民政府预算绩效管理制度》。并完善资金管理办法、工作保障措施等，为全年预算绩效目标的实现奠定制度基础。</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2、加强支出管理。</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通过优化支出结构、编细编实预算、加快履行政府采购手续、尽快启动项目、及时支付资金、6月底前细化代编预算、按规定及时下达资金等多种措施，确保支出进度达标。</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3、加强绩效运行监控。</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按要求开展绩效运行监控，发现问题及时采取措施，确保绩效目标如期保质实现。</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4、做好绩效自评。</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按要求开展上年度部门预算绩效自评和重点评价工作，对评价中发现的问题及时整改，调整优化支出结构，提高财政资金使用效益。</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5、规范财务资产管理。</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完善财务管理制度，严格审批程序，加强固定资产登记、使用和报废处置管理，做到支出合理，物尽其用。</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6、加强内部监督。</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7、加强宣传培训调研等。</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42"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3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4"/>
        <w:gridCol w:w="795"/>
        <w:gridCol w:w="2357"/>
        <w:gridCol w:w="1695"/>
        <w:gridCol w:w="3465"/>
        <w:gridCol w:w="1035"/>
        <w:gridCol w:w="960"/>
        <w:gridCol w:w="109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4"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57"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9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65"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090" w:type="dxa"/>
            <w:gridSpan w:val="3"/>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20" w:type="dxa"/>
            <w:vMerge w:val="restart"/>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4" w:type="dxa"/>
            <w:vMerge w:val="continue"/>
            <w:tcBorders>
              <w:tl2br w:val="nil"/>
              <w:tr2bl w:val="nil"/>
            </w:tcBorders>
            <w:noWrap w:val="0"/>
            <w:vAlign w:val="center"/>
          </w:tcPr>
          <w:p/>
        </w:tc>
        <w:tc>
          <w:tcPr>
            <w:tcW w:w="795" w:type="dxa"/>
            <w:vMerge w:val="continue"/>
            <w:tcBorders>
              <w:tl2br w:val="nil"/>
              <w:tr2bl w:val="nil"/>
            </w:tcBorders>
            <w:noWrap w:val="0"/>
            <w:vAlign w:val="center"/>
          </w:tcPr>
          <w:p/>
        </w:tc>
        <w:tc>
          <w:tcPr>
            <w:tcW w:w="2357" w:type="dxa"/>
            <w:vMerge w:val="continue"/>
            <w:tcBorders>
              <w:tl2br w:val="nil"/>
              <w:tr2bl w:val="nil"/>
            </w:tcBorders>
            <w:noWrap w:val="0"/>
            <w:vAlign w:val="center"/>
          </w:tcPr>
          <w:p/>
        </w:tc>
        <w:tc>
          <w:tcPr>
            <w:tcW w:w="1695" w:type="dxa"/>
            <w:vMerge w:val="continue"/>
            <w:tcBorders>
              <w:tl2br w:val="nil"/>
              <w:tr2bl w:val="nil"/>
            </w:tcBorders>
            <w:noWrap w:val="0"/>
            <w:vAlign w:val="center"/>
          </w:tcPr>
          <w:p/>
        </w:tc>
        <w:tc>
          <w:tcPr>
            <w:tcW w:w="3465" w:type="dxa"/>
            <w:vMerge w:val="continue"/>
            <w:tcBorders>
              <w:tl2br w:val="nil"/>
              <w:tr2bl w:val="nil"/>
            </w:tcBorders>
            <w:noWrap w:val="0"/>
            <w:vAlign w:val="center"/>
          </w:tcPr>
          <w:p/>
        </w:tc>
        <w:tc>
          <w:tcPr>
            <w:tcW w:w="1035"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60"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95" w:type="dxa"/>
            <w:tcBorders>
              <w:tl2br w:val="nil"/>
              <w:tr2bl w:val="nil"/>
            </w:tcBorders>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20" w:type="dxa"/>
            <w:vMerge w:val="continue"/>
            <w:tcBorders>
              <w:tl2br w:val="nil"/>
              <w:tr2bl w:val="nil"/>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4" w:type="dxa"/>
            <w:vMerge w:val="restart"/>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202</w:t>
            </w:r>
            <w:r>
              <w:rPr>
                <w:rFonts w:hint="eastAsia" w:ascii="方正书宋_GBK" w:eastAsia="方正书宋_GBK"/>
                <w:lang w:val="en-US" w:eastAsia="zh-CN"/>
              </w:rPr>
              <w:t>2</w:t>
            </w:r>
            <w:r>
              <w:rPr>
                <w:rFonts w:hint="eastAsia" w:ascii="方正书宋_GBK" w:eastAsia="方正书宋_GBK"/>
              </w:rPr>
              <w:t>年度主要工作数量</w:t>
            </w:r>
          </w:p>
        </w:tc>
        <w:tc>
          <w:tcPr>
            <w:tcW w:w="1695" w:type="dxa"/>
            <w:tcBorders>
              <w:tl2br w:val="nil"/>
              <w:tr2bl w:val="nil"/>
            </w:tcBorders>
            <w:noWrap w:val="0"/>
            <w:vAlign w:val="center"/>
          </w:tcPr>
          <w:p>
            <w:pPr>
              <w:bidi w:val="0"/>
              <w:jc w:val="center"/>
              <w:rPr>
                <w:rFonts w:ascii="Calibri" w:hAnsi="Calibri" w:eastAsia="宋体" w:cs="Arial"/>
                <w:kern w:val="2"/>
                <w:sz w:val="21"/>
                <w:szCs w:val="22"/>
                <w:lang w:val="en-US" w:eastAsia="zh-CN" w:bidi="ar-SA"/>
              </w:rPr>
            </w:pPr>
            <w:r>
              <w:rPr>
                <w:rFonts w:hint="eastAsia" w:ascii="方正书宋_GBK" w:eastAsia="方正书宋_GBK"/>
                <w:lang w:val="en-US" w:eastAsia="zh-CN"/>
              </w:rPr>
              <w:t>工作数</w:t>
            </w:r>
            <w:r>
              <w:rPr>
                <w:rFonts w:hint="eastAsia" w:ascii="Calibri" w:hAnsi="Calibri" w:eastAsia="宋体" w:cs="Arial"/>
                <w:kern w:val="2"/>
                <w:sz w:val="21"/>
                <w:szCs w:val="22"/>
                <w:lang w:val="en-US" w:eastAsia="zh-CN" w:bidi="ar-SA"/>
              </w:rPr>
              <w:t>量</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反映全镇202</w:t>
            </w:r>
            <w:r>
              <w:rPr>
                <w:rFonts w:hint="eastAsia" w:ascii="方正书宋_GBK" w:eastAsia="方正书宋_GBK"/>
                <w:lang w:val="en-US" w:eastAsia="zh-CN"/>
              </w:rPr>
              <w:t>3</w:t>
            </w:r>
            <w:r>
              <w:rPr>
                <w:rFonts w:hint="eastAsia" w:ascii="方正书宋_GBK" w:eastAsia="方正书宋_GBK"/>
              </w:rPr>
              <w:t>年度开展主要工作的数量</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7</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各项工作开展落实率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工作开展情况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反映全镇各项主要工作开展落实情况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主要工作开展时效性</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工作开展时效性</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反映全镇主要工作开展的时效性</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96</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357" w:type="dxa"/>
            <w:tcBorders>
              <w:tl2br w:val="nil"/>
              <w:tr2bl w:val="nil"/>
            </w:tcBorders>
            <w:noWrap w:val="0"/>
            <w:vAlign w:val="center"/>
          </w:tcPr>
          <w:p>
            <w:pPr>
              <w:widowControl/>
              <w:adjustRightInd w:val="0"/>
              <w:snapToGrid w:val="0"/>
              <w:jc w:val="center"/>
              <w:rPr>
                <w:rFonts w:ascii="方正书宋_GBK" w:eastAsia="方正书宋_GBK"/>
                <w:b/>
                <w:bCs/>
              </w:rPr>
            </w:pPr>
            <w:r>
              <w:rPr>
                <w:rFonts w:hint="eastAsia" w:ascii="方正书宋_GBK" w:eastAsia="方正书宋_GBK"/>
                <w:b w:val="0"/>
                <w:bCs w:val="0"/>
              </w:rPr>
              <w:t>成本节约量</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成本节约量</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反映开展主要工作的成本节约量</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highlight w:val="none"/>
                <w:lang w:val="en-US" w:eastAsia="zh-CN"/>
              </w:rPr>
              <w:t>150.59</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restart"/>
            <w:tcBorders>
              <w:tl2br w:val="nil"/>
              <w:tr2bl w:val="nil"/>
            </w:tcBorders>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辖区居民生活水平显著提升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生活水平提升情况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反映辖区居民生活水平提升情况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显著提升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全镇经济发展稳步提升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经济提升情况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反映全镇经济发展水平提升情况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57"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辖区生态环境显著提升</w:t>
            </w:r>
          </w:p>
        </w:tc>
        <w:tc>
          <w:tcPr>
            <w:tcW w:w="16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生态环境提升情况</w:t>
            </w:r>
          </w:p>
        </w:tc>
        <w:tc>
          <w:tcPr>
            <w:tcW w:w="346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反映全镇生态环境提升情况</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显著提升</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357" w:type="dxa"/>
            <w:tcBorders>
              <w:tl2br w:val="nil"/>
              <w:tr2bl w:val="nil"/>
            </w:tcBorders>
            <w:noWrap/>
            <w:vAlign w:val="center"/>
          </w:tcPr>
          <w:p>
            <w:pPr>
              <w:widowControl/>
              <w:adjustRightInd w:val="0"/>
              <w:snapToGrid w:val="0"/>
              <w:jc w:val="center"/>
              <w:rPr>
                <w:rFonts w:ascii="方正书宋_GBK" w:eastAsia="方正书宋_GBK"/>
              </w:rPr>
            </w:pPr>
          </w:p>
        </w:tc>
        <w:tc>
          <w:tcPr>
            <w:tcW w:w="1695" w:type="dxa"/>
            <w:tcBorders>
              <w:tl2br w:val="nil"/>
              <w:tr2bl w:val="nil"/>
            </w:tcBorders>
            <w:noWrap/>
            <w:vAlign w:val="center"/>
          </w:tcPr>
          <w:p>
            <w:pPr>
              <w:widowControl/>
              <w:adjustRightInd w:val="0"/>
              <w:snapToGrid w:val="0"/>
              <w:jc w:val="center"/>
              <w:rPr>
                <w:rFonts w:ascii="方正书宋_GBK" w:eastAsia="方正书宋_GBK"/>
              </w:rPr>
            </w:pPr>
          </w:p>
        </w:tc>
        <w:tc>
          <w:tcPr>
            <w:tcW w:w="3465" w:type="dxa"/>
            <w:tcBorders>
              <w:tl2br w:val="nil"/>
              <w:tr2bl w:val="nil"/>
            </w:tcBorders>
            <w:noWrap/>
            <w:vAlign w:val="center"/>
          </w:tcPr>
          <w:p>
            <w:pPr>
              <w:widowControl/>
              <w:adjustRightInd w:val="0"/>
              <w:snapToGrid w:val="0"/>
              <w:jc w:val="center"/>
              <w:rPr>
                <w:rFonts w:ascii="方正书宋_GBK" w:eastAsia="方正书宋_GBK"/>
              </w:rPr>
            </w:pP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p>
        </w:tc>
        <w:tc>
          <w:tcPr>
            <w:tcW w:w="960" w:type="dxa"/>
            <w:tcBorders>
              <w:tl2br w:val="nil"/>
              <w:tr2bl w:val="nil"/>
            </w:tcBorders>
            <w:noWrap w:val="0"/>
            <w:vAlign w:val="center"/>
          </w:tcPr>
          <w:p>
            <w:pPr>
              <w:widowControl/>
              <w:adjustRightInd w:val="0"/>
              <w:snapToGrid w:val="0"/>
              <w:jc w:val="center"/>
              <w:rPr>
                <w:rFonts w:ascii="方正书宋_GBK" w:eastAsia="方正书宋_GBK"/>
              </w:rPr>
            </w:pPr>
          </w:p>
        </w:tc>
        <w:tc>
          <w:tcPr>
            <w:tcW w:w="1095" w:type="dxa"/>
            <w:tcBorders>
              <w:tl2br w:val="nil"/>
              <w:tr2bl w:val="nil"/>
            </w:tcBorders>
            <w:noWrap w:val="0"/>
            <w:vAlign w:val="center"/>
          </w:tcPr>
          <w:p>
            <w:pPr>
              <w:widowControl/>
              <w:adjustRightInd w:val="0"/>
              <w:snapToGrid w:val="0"/>
              <w:jc w:val="center"/>
              <w:rPr>
                <w:rFonts w:ascii="方正书宋_GBK" w:eastAsia="方正书宋_GBK"/>
              </w:rPr>
            </w:pPr>
          </w:p>
        </w:tc>
        <w:tc>
          <w:tcPr>
            <w:tcW w:w="1620" w:type="dxa"/>
            <w:tcBorders>
              <w:tl2br w:val="nil"/>
              <w:tr2bl w:val="nil"/>
            </w:tcBorders>
            <w:noWrap w:val="0"/>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4" w:type="dxa"/>
            <w:vMerge w:val="continue"/>
            <w:tcBorders>
              <w:tl2br w:val="nil"/>
              <w:tr2bl w:val="nil"/>
            </w:tcBorders>
            <w:noWrap w:val="0"/>
            <w:vAlign w:val="center"/>
          </w:tcPr>
          <w:p/>
        </w:tc>
        <w:tc>
          <w:tcPr>
            <w:tcW w:w="79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5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169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346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反映群众满意度</w:t>
            </w:r>
          </w:p>
        </w:tc>
        <w:tc>
          <w:tcPr>
            <w:tcW w:w="1035" w:type="dxa"/>
            <w:tcBorders>
              <w:tl2br w:val="nil"/>
              <w:tr2bl w:val="nil"/>
            </w:tcBorders>
            <w:noWrap w:val="0"/>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noWrap w:val="0"/>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96</w:t>
            </w:r>
          </w:p>
        </w:tc>
        <w:tc>
          <w:tcPr>
            <w:tcW w:w="1095" w:type="dxa"/>
            <w:tcBorders>
              <w:tl2br w:val="nil"/>
              <w:tr2bl w:val="nil"/>
            </w:tcBorders>
            <w:noWrap w:val="0"/>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620" w:type="dxa"/>
            <w:tcBorders>
              <w:tl2br w:val="nil"/>
              <w:tr2bl w:val="nil"/>
            </w:tcBorders>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走访</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1、2023年妇联基层组织建设经费绩效目标表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建立10个妇女之家，极大的支持了基层妇联组织更好地履行职责，壮大基层妇联工作力量，确保开展活动质量达标率达到100%，推进妇联组织开展各项培训活动，保证培训计划100%完成，同时也促进了农村妇女的就业率，最终增强基层妇联组织凝聚力和战斗力，使基层妇女儿童享受到更贴心、更优质的服务，公众的满意度高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镇区内妇女之家的数量</w:t>
            </w:r>
          </w:p>
        </w:tc>
        <w:tc>
          <w:tcPr>
            <w:tcW w:w="2835" w:type="dxa"/>
            <w:vAlign w:val="center"/>
          </w:tcPr>
          <w:p>
            <w:pPr>
              <w:pStyle w:val="19"/>
            </w:pPr>
            <w:r>
              <w:t>反映镇区内妇女之家的数量</w:t>
            </w:r>
          </w:p>
        </w:tc>
        <w:tc>
          <w:tcPr>
            <w:tcW w:w="2551" w:type="dxa"/>
            <w:vAlign w:val="center"/>
          </w:tcPr>
          <w:p>
            <w:pPr>
              <w:pStyle w:val="19"/>
            </w:pPr>
            <w:r>
              <w:t>≥10个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开展活动质量达标率</w:t>
            </w:r>
          </w:p>
        </w:tc>
        <w:tc>
          <w:tcPr>
            <w:tcW w:w="2835" w:type="dxa"/>
            <w:vAlign w:val="center"/>
          </w:tcPr>
          <w:p>
            <w:pPr>
              <w:pStyle w:val="19"/>
            </w:pPr>
            <w:r>
              <w:t>反映开展活动质量达标率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培训计划按期完成率</w:t>
            </w:r>
          </w:p>
        </w:tc>
        <w:tc>
          <w:tcPr>
            <w:tcW w:w="2835" w:type="dxa"/>
            <w:vAlign w:val="center"/>
          </w:tcPr>
          <w:p>
            <w:pPr>
              <w:pStyle w:val="19"/>
            </w:pPr>
            <w:r>
              <w:t>按期完成的培训计划占总培训计划的比率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1万元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 xml:space="preserve">带动消费情况 </w:t>
            </w:r>
          </w:p>
        </w:tc>
        <w:tc>
          <w:tcPr>
            <w:tcW w:w="2835" w:type="dxa"/>
            <w:vAlign w:val="center"/>
          </w:tcPr>
          <w:p>
            <w:pPr>
              <w:pStyle w:val="19"/>
            </w:pPr>
            <w:r>
              <w:t xml:space="preserve">带动消费情况 </w:t>
            </w:r>
          </w:p>
        </w:tc>
        <w:tc>
          <w:tcPr>
            <w:tcW w:w="2551" w:type="dxa"/>
            <w:vAlign w:val="center"/>
          </w:tcPr>
          <w:p>
            <w:pPr>
              <w:pStyle w:val="19"/>
            </w:pPr>
            <w:r>
              <w:t>提高</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促进就业率</w:t>
            </w:r>
          </w:p>
        </w:tc>
        <w:tc>
          <w:tcPr>
            <w:tcW w:w="2835" w:type="dxa"/>
            <w:vAlign w:val="center"/>
          </w:tcPr>
          <w:p>
            <w:pPr>
              <w:pStyle w:val="19"/>
            </w:pPr>
            <w:r>
              <w:t>反映妇女就业情况</w:t>
            </w:r>
          </w:p>
        </w:tc>
        <w:tc>
          <w:tcPr>
            <w:tcW w:w="2551" w:type="dxa"/>
            <w:vAlign w:val="center"/>
          </w:tcPr>
          <w:p>
            <w:pPr>
              <w:pStyle w:val="19"/>
            </w:pPr>
            <w:r>
              <w:t>改善</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妇女后备干部建设情况</w:t>
            </w:r>
          </w:p>
        </w:tc>
        <w:tc>
          <w:tcPr>
            <w:tcW w:w="2835" w:type="dxa"/>
            <w:vAlign w:val="center"/>
          </w:tcPr>
          <w:p>
            <w:pPr>
              <w:pStyle w:val="19"/>
            </w:pPr>
            <w:r>
              <w:t>反映妇女后备干部建设情况</w:t>
            </w:r>
          </w:p>
        </w:tc>
        <w:tc>
          <w:tcPr>
            <w:tcW w:w="2551" w:type="dxa"/>
            <w:vAlign w:val="center"/>
          </w:tcPr>
          <w:p>
            <w:pPr>
              <w:pStyle w:val="19"/>
            </w:pPr>
            <w:r>
              <w:t>良好</w:t>
            </w:r>
          </w:p>
        </w:tc>
        <w:tc>
          <w:tcPr>
            <w:tcW w:w="2268" w:type="dxa"/>
            <w:vAlign w:val="center"/>
          </w:tcPr>
          <w:p>
            <w:pPr>
              <w:pStyle w:val="19"/>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公众满意度</w:t>
            </w:r>
          </w:p>
        </w:tc>
        <w:tc>
          <w:tcPr>
            <w:tcW w:w="2835" w:type="dxa"/>
            <w:vAlign w:val="center"/>
          </w:tcPr>
          <w:p>
            <w:pPr>
              <w:pStyle w:val="19"/>
            </w:pPr>
            <w:r>
              <w:t>调查中公众满意数占总调查人数的比例</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2、2023年基层党建团建工作经费绩效目标表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该项目的实施，保证全年开展12次以上的党性教育活动和业务培训活动，按照绩效考核标准对党建团建工作进行考核，确保合格率达到100%，提高党建团建活动的完成率，按时按量完成，同时也提高了全镇青年的就业率，调查中公众满意度达到了95%以上，最终推动建成广泛覆盖、富有活力的基层组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开展党性教育次数</w:t>
            </w:r>
          </w:p>
        </w:tc>
        <w:tc>
          <w:tcPr>
            <w:tcW w:w="2835" w:type="dxa"/>
            <w:vAlign w:val="center"/>
          </w:tcPr>
          <w:p>
            <w:pPr>
              <w:pStyle w:val="19"/>
            </w:pPr>
            <w:r>
              <w:t>反映本年度开展党性教育的次数</w:t>
            </w:r>
          </w:p>
        </w:tc>
        <w:tc>
          <w:tcPr>
            <w:tcW w:w="2551" w:type="dxa"/>
            <w:vAlign w:val="center"/>
          </w:tcPr>
          <w:p>
            <w:pPr>
              <w:pStyle w:val="19"/>
            </w:pPr>
            <w:r>
              <w:t>≥12次</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党建团建工作考核合格率</w:t>
            </w:r>
          </w:p>
        </w:tc>
        <w:tc>
          <w:tcPr>
            <w:tcW w:w="2835" w:type="dxa"/>
            <w:vAlign w:val="center"/>
          </w:tcPr>
          <w:p>
            <w:pPr>
              <w:pStyle w:val="19"/>
            </w:pPr>
            <w:r>
              <w:t>反映党建团建工作考核合格率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党建团建活动的完成及时率</w:t>
            </w:r>
          </w:p>
        </w:tc>
        <w:tc>
          <w:tcPr>
            <w:tcW w:w="2835" w:type="dxa"/>
            <w:vAlign w:val="center"/>
          </w:tcPr>
          <w:p>
            <w:pPr>
              <w:pStyle w:val="19"/>
            </w:pPr>
            <w:r>
              <w:t>反映党建团建活动的完成及时率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2万元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促进就业率</w:t>
            </w:r>
          </w:p>
        </w:tc>
        <w:tc>
          <w:tcPr>
            <w:tcW w:w="2835" w:type="dxa"/>
            <w:vAlign w:val="center"/>
          </w:tcPr>
          <w:p>
            <w:pPr>
              <w:pStyle w:val="19"/>
            </w:pPr>
            <w:r>
              <w:t>反映青年就业情况</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青年后备干部建设情况</w:t>
            </w:r>
          </w:p>
        </w:tc>
        <w:tc>
          <w:tcPr>
            <w:tcW w:w="2835" w:type="dxa"/>
            <w:vAlign w:val="center"/>
          </w:tcPr>
          <w:p>
            <w:pPr>
              <w:pStyle w:val="19"/>
            </w:pPr>
            <w:r>
              <w:t>反映青年后备干部建设情况</w:t>
            </w:r>
          </w:p>
        </w:tc>
        <w:tc>
          <w:tcPr>
            <w:tcW w:w="2551" w:type="dxa"/>
            <w:vAlign w:val="center"/>
          </w:tcPr>
          <w:p>
            <w:pPr>
              <w:pStyle w:val="19"/>
            </w:pPr>
            <w:r>
              <w:t>良好</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公众满意度</w:t>
            </w:r>
          </w:p>
        </w:tc>
        <w:tc>
          <w:tcPr>
            <w:tcW w:w="2835" w:type="dxa"/>
            <w:vAlign w:val="center"/>
          </w:tcPr>
          <w:p>
            <w:pPr>
              <w:pStyle w:val="19"/>
            </w:pPr>
            <w:r>
              <w:t>调查中公众满意数占总调查人数的比例</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3、2023年农村环境、散乱污及大气污染治理经费绩效目标表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1.通过该项目的开展完成了农村垃圾处理点100%的清理，完成了陈旧垃圾堆放点的清除、污水坑塘的治理、牲畜排泄物的清理，农村污水治理达标率达到了100% ，改善了了人民的居住环境，提高了人民群众满意度。</w:t>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生活垃圾处理点数量覆盖率</w:t>
            </w:r>
          </w:p>
        </w:tc>
        <w:tc>
          <w:tcPr>
            <w:tcW w:w="2835" w:type="dxa"/>
            <w:vAlign w:val="center"/>
          </w:tcPr>
          <w:p>
            <w:pPr>
              <w:pStyle w:val="19"/>
            </w:pPr>
            <w:r>
              <w:t>反映治理生活垃圾点的数量覆盖情况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生活污水处理达标率/环境治理达标率</w:t>
            </w:r>
          </w:p>
        </w:tc>
        <w:tc>
          <w:tcPr>
            <w:tcW w:w="2835" w:type="dxa"/>
            <w:vAlign w:val="center"/>
          </w:tcPr>
          <w:p>
            <w:pPr>
              <w:pStyle w:val="19"/>
            </w:pPr>
            <w:r>
              <w:t>反映生活污水整治情况/反映环境治理达标情况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完成及时性</w:t>
            </w:r>
          </w:p>
        </w:tc>
        <w:tc>
          <w:tcPr>
            <w:tcW w:w="2835" w:type="dxa"/>
            <w:vAlign w:val="center"/>
          </w:tcPr>
          <w:p>
            <w:pPr>
              <w:pStyle w:val="19"/>
            </w:pPr>
            <w:r>
              <w:t>反映完成工作及时情况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110万元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村容村貌提升情况</w:t>
            </w:r>
          </w:p>
        </w:tc>
        <w:tc>
          <w:tcPr>
            <w:tcW w:w="2835" w:type="dxa"/>
            <w:vAlign w:val="center"/>
          </w:tcPr>
          <w:p>
            <w:pPr>
              <w:pStyle w:val="19"/>
            </w:pPr>
            <w:r>
              <w:t>反映人民居住环境提高情况</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生态效益指标</w:t>
            </w:r>
          </w:p>
        </w:tc>
        <w:tc>
          <w:tcPr>
            <w:tcW w:w="2835" w:type="dxa"/>
            <w:vAlign w:val="center"/>
          </w:tcPr>
          <w:p>
            <w:pPr>
              <w:pStyle w:val="19"/>
            </w:pPr>
            <w:r>
              <w:t>人居环境的改善</w:t>
            </w:r>
          </w:p>
        </w:tc>
        <w:tc>
          <w:tcPr>
            <w:tcW w:w="2835" w:type="dxa"/>
            <w:vAlign w:val="center"/>
          </w:tcPr>
          <w:p>
            <w:pPr>
              <w:pStyle w:val="19"/>
            </w:pPr>
            <w:r>
              <w:t>反映环境改善情况</w:t>
            </w:r>
          </w:p>
        </w:tc>
        <w:tc>
          <w:tcPr>
            <w:tcW w:w="2551" w:type="dxa"/>
            <w:vAlign w:val="center"/>
          </w:tcPr>
          <w:p>
            <w:pPr>
              <w:pStyle w:val="19"/>
            </w:pPr>
            <w:r>
              <w:t>改善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环境治理机制完善性</w:t>
            </w:r>
          </w:p>
        </w:tc>
        <w:tc>
          <w:tcPr>
            <w:tcW w:w="2835" w:type="dxa"/>
            <w:vAlign w:val="center"/>
          </w:tcPr>
          <w:p>
            <w:pPr>
              <w:pStyle w:val="19"/>
            </w:pPr>
            <w:r>
              <w:t>反映农村环境治理制度是否完善</w:t>
            </w:r>
          </w:p>
        </w:tc>
        <w:tc>
          <w:tcPr>
            <w:tcW w:w="2551" w:type="dxa"/>
            <w:vAlign w:val="center"/>
          </w:tcPr>
          <w:p>
            <w:pPr>
              <w:pStyle w:val="19"/>
            </w:pPr>
            <w:r>
              <w:t>完善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满意率</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4、2023年人大代表联络站经费绩效目标表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1.用于村街人大代表联络站的运行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人大代表联络站数量</w:t>
            </w:r>
          </w:p>
        </w:tc>
        <w:tc>
          <w:tcPr>
            <w:tcW w:w="2835" w:type="dxa"/>
            <w:vAlign w:val="center"/>
          </w:tcPr>
          <w:p>
            <w:pPr>
              <w:pStyle w:val="19"/>
            </w:pPr>
            <w:r>
              <w:t>反映人大代表联络站数量情况</w:t>
            </w:r>
          </w:p>
        </w:tc>
        <w:tc>
          <w:tcPr>
            <w:tcW w:w="2551" w:type="dxa"/>
            <w:vAlign w:val="center"/>
          </w:tcPr>
          <w:p>
            <w:pPr>
              <w:pStyle w:val="19"/>
            </w:pPr>
            <w:r>
              <w:t>3个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代表活动参加率</w:t>
            </w:r>
          </w:p>
        </w:tc>
        <w:tc>
          <w:tcPr>
            <w:tcW w:w="2835" w:type="dxa"/>
            <w:vAlign w:val="center"/>
          </w:tcPr>
          <w:p>
            <w:pPr>
              <w:pStyle w:val="19"/>
            </w:pPr>
            <w:r>
              <w:t>反映代表活动参加率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及时性</w:t>
            </w:r>
          </w:p>
        </w:tc>
        <w:tc>
          <w:tcPr>
            <w:tcW w:w="2835" w:type="dxa"/>
            <w:vAlign w:val="center"/>
          </w:tcPr>
          <w:p>
            <w:pPr>
              <w:pStyle w:val="19"/>
            </w:pPr>
            <w:r>
              <w:t>及时性</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资金成本</w:t>
            </w:r>
          </w:p>
        </w:tc>
        <w:tc>
          <w:tcPr>
            <w:tcW w:w="2835" w:type="dxa"/>
            <w:vAlign w:val="center"/>
          </w:tcPr>
          <w:p>
            <w:pPr>
              <w:pStyle w:val="19"/>
            </w:pPr>
            <w:r>
              <w:t>资金成本</w:t>
            </w:r>
          </w:p>
        </w:tc>
        <w:tc>
          <w:tcPr>
            <w:tcW w:w="2551" w:type="dxa"/>
            <w:vAlign w:val="center"/>
          </w:tcPr>
          <w:p>
            <w:pPr>
              <w:pStyle w:val="19"/>
            </w:pPr>
            <w:r>
              <w:t>6万元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经贸活动知名度</w:t>
            </w:r>
          </w:p>
        </w:tc>
        <w:tc>
          <w:tcPr>
            <w:tcW w:w="2835" w:type="dxa"/>
            <w:vAlign w:val="center"/>
          </w:tcPr>
          <w:p>
            <w:pPr>
              <w:pStyle w:val="19"/>
            </w:pPr>
            <w:r>
              <w:t>经贸活动知名度</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展览期间进行过洽谈或新结实的客</w:t>
            </w:r>
          </w:p>
        </w:tc>
        <w:tc>
          <w:tcPr>
            <w:tcW w:w="2835" w:type="dxa"/>
            <w:vAlign w:val="center"/>
          </w:tcPr>
          <w:p>
            <w:pPr>
              <w:pStyle w:val="19"/>
            </w:pPr>
            <w:r>
              <w:t>展览期间进行过洽谈或新结实的客商数</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品牌效应</w:t>
            </w:r>
          </w:p>
        </w:tc>
        <w:tc>
          <w:tcPr>
            <w:tcW w:w="2835" w:type="dxa"/>
            <w:vAlign w:val="center"/>
          </w:tcPr>
          <w:p>
            <w:pPr>
              <w:pStyle w:val="19"/>
            </w:pPr>
            <w:r>
              <w:t>品牌效应</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企业满意度</w:t>
            </w:r>
          </w:p>
        </w:tc>
        <w:tc>
          <w:tcPr>
            <w:tcW w:w="2835" w:type="dxa"/>
            <w:vAlign w:val="center"/>
          </w:tcPr>
          <w:p>
            <w:pPr>
              <w:pStyle w:val="19"/>
            </w:pPr>
            <w:r>
              <w:t>企业满意度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5、2023年退役军人服务站工作经费绩效目标表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该项目的实施，完成32个村街待退伍军人政策宣传、思想疏导的培训工作，保障培训合格率100%，大力宣传退伍军人的相关政策，促进退役人员再就业，通过培训促使退伍军人解开心结，平复矛盾，提高满意度，从而降低了退伍军人的上访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宣传培训退役军人数量</w:t>
            </w:r>
          </w:p>
        </w:tc>
        <w:tc>
          <w:tcPr>
            <w:tcW w:w="2835" w:type="dxa"/>
            <w:vAlign w:val="center"/>
          </w:tcPr>
          <w:p>
            <w:pPr>
              <w:pStyle w:val="19"/>
            </w:pPr>
            <w:r>
              <w:t>反映宣传培训军人数量情况</w:t>
            </w:r>
          </w:p>
        </w:tc>
        <w:tc>
          <w:tcPr>
            <w:tcW w:w="2551" w:type="dxa"/>
            <w:vAlign w:val="center"/>
          </w:tcPr>
          <w:p>
            <w:pPr>
              <w:pStyle w:val="19"/>
            </w:pPr>
            <w:r>
              <w:t>32村</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培训质量达标率</w:t>
            </w:r>
          </w:p>
        </w:tc>
        <w:tc>
          <w:tcPr>
            <w:tcW w:w="2835" w:type="dxa"/>
            <w:vAlign w:val="center"/>
          </w:tcPr>
          <w:p>
            <w:pPr>
              <w:pStyle w:val="19"/>
            </w:pPr>
            <w:r>
              <w:t>反映军人受培训质量情况</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反映完成工作及时成都</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3万元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促进军人就业率</w:t>
            </w:r>
          </w:p>
        </w:tc>
        <w:tc>
          <w:tcPr>
            <w:tcW w:w="2835" w:type="dxa"/>
            <w:vAlign w:val="center"/>
          </w:tcPr>
          <w:p>
            <w:pPr>
              <w:pStyle w:val="19"/>
            </w:pPr>
            <w:r>
              <w:t>反映军人就业情况</w:t>
            </w:r>
          </w:p>
        </w:tc>
        <w:tc>
          <w:tcPr>
            <w:tcW w:w="2551" w:type="dxa"/>
            <w:vAlign w:val="center"/>
          </w:tcPr>
          <w:p>
            <w:pPr>
              <w:pStyle w:val="19"/>
            </w:pPr>
            <w:r>
              <w:t>促进</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长期使用性</w:t>
            </w:r>
          </w:p>
        </w:tc>
        <w:tc>
          <w:tcPr>
            <w:tcW w:w="2835" w:type="dxa"/>
            <w:vAlign w:val="center"/>
          </w:tcPr>
          <w:p>
            <w:pPr>
              <w:pStyle w:val="19"/>
            </w:pPr>
            <w:r>
              <w:t>长期使用性</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受益群众满意率</w:t>
            </w:r>
          </w:p>
        </w:tc>
        <w:tc>
          <w:tcPr>
            <w:tcW w:w="2835" w:type="dxa"/>
            <w:vAlign w:val="center"/>
          </w:tcPr>
          <w:p>
            <w:pPr>
              <w:pStyle w:val="19"/>
            </w:pPr>
            <w:r>
              <w:t>反映受益群体的满意度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6、2023年宗教治理工作经费绩效目标表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1.本项目的实施进一步加强了对宗教工作的依法依规管理，坚持我国宗教中国化方向，弘扬民族文化，构建和谐寺院教堂，促进宗教工作健康发展。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维修教堂数量</w:t>
            </w:r>
          </w:p>
        </w:tc>
        <w:tc>
          <w:tcPr>
            <w:tcW w:w="2835" w:type="dxa"/>
            <w:vAlign w:val="center"/>
          </w:tcPr>
          <w:p>
            <w:pPr>
              <w:pStyle w:val="19"/>
            </w:pPr>
            <w:r>
              <w:t>反映维修教堂数量情况</w:t>
            </w:r>
          </w:p>
        </w:tc>
        <w:tc>
          <w:tcPr>
            <w:tcW w:w="2551" w:type="dxa"/>
            <w:vAlign w:val="center"/>
          </w:tcPr>
          <w:p>
            <w:pPr>
              <w:pStyle w:val="19"/>
            </w:pPr>
            <w:r>
              <w:t>4个</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检查教堂安全达标率</w:t>
            </w:r>
          </w:p>
        </w:tc>
        <w:tc>
          <w:tcPr>
            <w:tcW w:w="2835" w:type="dxa"/>
            <w:vAlign w:val="center"/>
          </w:tcPr>
          <w:p>
            <w:pPr>
              <w:pStyle w:val="19"/>
            </w:pPr>
            <w:r>
              <w:t>反映符合教堂使用标准的合格率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反映完成工作及时成都</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20万元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村街稳定水平</w:t>
            </w:r>
          </w:p>
        </w:tc>
        <w:tc>
          <w:tcPr>
            <w:tcW w:w="2835" w:type="dxa"/>
            <w:vAlign w:val="center"/>
          </w:tcPr>
          <w:p>
            <w:pPr>
              <w:pStyle w:val="19"/>
            </w:pPr>
            <w:r>
              <w:t>通过培训宣传，减少了宗教人员与普通百姓的冲突</w:t>
            </w:r>
          </w:p>
        </w:tc>
        <w:tc>
          <w:tcPr>
            <w:tcW w:w="2551" w:type="dxa"/>
            <w:vAlign w:val="center"/>
          </w:tcPr>
          <w:p>
            <w:pPr>
              <w:pStyle w:val="19"/>
            </w:pPr>
            <w:r>
              <w:t>提高</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项目后期管护延续性</w:t>
            </w:r>
          </w:p>
        </w:tc>
        <w:tc>
          <w:tcPr>
            <w:tcW w:w="2835" w:type="dxa"/>
            <w:vAlign w:val="center"/>
          </w:tcPr>
          <w:p>
            <w:pPr>
              <w:pStyle w:val="19"/>
            </w:pPr>
            <w:r>
              <w:t>村街稳定性</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受益群众满意率</w:t>
            </w:r>
          </w:p>
        </w:tc>
        <w:tc>
          <w:tcPr>
            <w:tcW w:w="2835" w:type="dxa"/>
            <w:vAlign w:val="center"/>
          </w:tcPr>
          <w:p>
            <w:pPr>
              <w:pStyle w:val="19"/>
            </w:pPr>
            <w:r>
              <w:t>反映村街受益群体的满意度</w:t>
            </w:r>
          </w:p>
        </w:tc>
        <w:tc>
          <w:tcPr>
            <w:tcW w:w="2551" w:type="dxa"/>
            <w:vAlign w:val="center"/>
          </w:tcPr>
          <w:p>
            <w:pPr>
              <w:pStyle w:val="19"/>
            </w:pPr>
            <w:r>
              <w:t>≥95%</w:t>
            </w:r>
          </w:p>
        </w:tc>
        <w:tc>
          <w:tcPr>
            <w:tcW w:w="2268" w:type="dxa"/>
            <w:vAlign w:val="center"/>
          </w:tcPr>
          <w:p>
            <w:pPr>
              <w:pStyle w:val="19"/>
            </w:pPr>
            <w:r>
              <w:t>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7、2022年一事一议项目资金绩效目标表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1.北魏镇南阜村修路1250平米，前屯村修路1250平米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新建道路里程、面积</w:t>
            </w:r>
          </w:p>
        </w:tc>
        <w:tc>
          <w:tcPr>
            <w:tcW w:w="2835" w:type="dxa"/>
            <w:vAlign w:val="center"/>
          </w:tcPr>
          <w:p>
            <w:pPr>
              <w:pStyle w:val="19"/>
            </w:pPr>
            <w:r>
              <w:t>新建道路里程、面积</w:t>
            </w:r>
          </w:p>
        </w:tc>
        <w:tc>
          <w:tcPr>
            <w:tcW w:w="2551" w:type="dxa"/>
            <w:vAlign w:val="center"/>
          </w:tcPr>
          <w:p>
            <w:pPr>
              <w:pStyle w:val="19"/>
            </w:pPr>
            <w:r>
              <w:t>1250平方米</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验收合格率</w:t>
            </w:r>
          </w:p>
        </w:tc>
        <w:tc>
          <w:tcPr>
            <w:tcW w:w="2835" w:type="dxa"/>
            <w:vAlign w:val="center"/>
          </w:tcPr>
          <w:p>
            <w:pPr>
              <w:pStyle w:val="19"/>
            </w:pPr>
            <w:r>
              <w:t>验收合格率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及时性</w:t>
            </w:r>
          </w:p>
        </w:tc>
        <w:tc>
          <w:tcPr>
            <w:tcW w:w="2835" w:type="dxa"/>
            <w:vAlign w:val="center"/>
          </w:tcPr>
          <w:p>
            <w:pPr>
              <w:pStyle w:val="19"/>
            </w:pPr>
            <w:r>
              <w:t>及时性</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项目成本</w:t>
            </w:r>
          </w:p>
        </w:tc>
        <w:tc>
          <w:tcPr>
            <w:tcW w:w="2551" w:type="dxa"/>
            <w:vAlign w:val="center"/>
          </w:tcPr>
          <w:p>
            <w:pPr>
              <w:pStyle w:val="19"/>
            </w:pPr>
            <w:r>
              <w:t>30万元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便捷群众出行、方便货物运输</w:t>
            </w:r>
          </w:p>
        </w:tc>
        <w:tc>
          <w:tcPr>
            <w:tcW w:w="2835" w:type="dxa"/>
            <w:vAlign w:val="center"/>
          </w:tcPr>
          <w:p>
            <w:pPr>
              <w:pStyle w:val="19"/>
            </w:pPr>
            <w:r>
              <w:t>便捷群众出行、方便货物运输</w:t>
            </w:r>
          </w:p>
        </w:tc>
        <w:tc>
          <w:tcPr>
            <w:tcW w:w="2551" w:type="dxa"/>
            <w:vAlign w:val="center"/>
          </w:tcPr>
          <w:p>
            <w:pPr>
              <w:pStyle w:val="19"/>
            </w:pPr>
            <w:r>
              <w:t>便捷</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经济发展</w:t>
            </w:r>
          </w:p>
        </w:tc>
        <w:tc>
          <w:tcPr>
            <w:tcW w:w="2835" w:type="dxa"/>
            <w:vAlign w:val="center"/>
          </w:tcPr>
          <w:p>
            <w:pPr>
              <w:pStyle w:val="19"/>
            </w:pPr>
            <w:r>
              <w:t>经济发展</w:t>
            </w:r>
          </w:p>
        </w:tc>
        <w:tc>
          <w:tcPr>
            <w:tcW w:w="2551" w:type="dxa"/>
            <w:vAlign w:val="center"/>
          </w:tcPr>
          <w:p>
            <w:pPr>
              <w:pStyle w:val="19"/>
            </w:pPr>
            <w:r>
              <w:t>提升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满意率</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8、2023年建档立卡脱贫户生产生活补助金绩效目标表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1.本项目主要用于改善贫困户基本生活，保障了贫困户最低生活标准，增强了贫困户造血功能，使其尽快脱贫致富。北魏镇共16户，每户每年2000元。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建档立卡贫困户数量</w:t>
            </w:r>
          </w:p>
        </w:tc>
        <w:tc>
          <w:tcPr>
            <w:tcW w:w="2835" w:type="dxa"/>
            <w:vAlign w:val="center"/>
          </w:tcPr>
          <w:p>
            <w:pPr>
              <w:pStyle w:val="19"/>
            </w:pPr>
            <w:r>
              <w:t>建档立卡贫困户数量</w:t>
            </w:r>
          </w:p>
        </w:tc>
        <w:tc>
          <w:tcPr>
            <w:tcW w:w="2551" w:type="dxa"/>
            <w:vAlign w:val="center"/>
          </w:tcPr>
          <w:p>
            <w:pPr>
              <w:pStyle w:val="19"/>
            </w:pPr>
            <w:r>
              <w:t>16户</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建档立卡帮扶率</w:t>
            </w:r>
          </w:p>
        </w:tc>
        <w:tc>
          <w:tcPr>
            <w:tcW w:w="2835" w:type="dxa"/>
            <w:vAlign w:val="center"/>
          </w:tcPr>
          <w:p>
            <w:pPr>
              <w:pStyle w:val="19"/>
            </w:pPr>
            <w:r>
              <w:t>建档立卡帮扶率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完成及时情况</w:t>
            </w:r>
          </w:p>
        </w:tc>
        <w:tc>
          <w:tcPr>
            <w:tcW w:w="2835" w:type="dxa"/>
            <w:vAlign w:val="center"/>
          </w:tcPr>
          <w:p>
            <w:pPr>
              <w:pStyle w:val="19"/>
            </w:pPr>
            <w:r>
              <w:t>反映奖补资金发放及时率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预算控制数</w:t>
            </w:r>
          </w:p>
        </w:tc>
        <w:tc>
          <w:tcPr>
            <w:tcW w:w="2835" w:type="dxa"/>
            <w:vAlign w:val="center"/>
          </w:tcPr>
          <w:p>
            <w:pPr>
              <w:pStyle w:val="19"/>
            </w:pPr>
            <w:r>
              <w:t>项目预算经费控制量</w:t>
            </w:r>
          </w:p>
        </w:tc>
        <w:tc>
          <w:tcPr>
            <w:tcW w:w="2551" w:type="dxa"/>
            <w:vAlign w:val="center"/>
          </w:tcPr>
          <w:p>
            <w:pPr>
              <w:pStyle w:val="19"/>
            </w:pPr>
            <w:r>
              <w:t>3.2万元</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改善贫困户生活水平</w:t>
            </w:r>
          </w:p>
        </w:tc>
        <w:tc>
          <w:tcPr>
            <w:tcW w:w="2835" w:type="dxa"/>
            <w:vAlign w:val="center"/>
          </w:tcPr>
          <w:p>
            <w:pPr>
              <w:pStyle w:val="19"/>
            </w:pPr>
            <w:r>
              <w:t>反映贫困户生活改善情况</w:t>
            </w:r>
          </w:p>
        </w:tc>
        <w:tc>
          <w:tcPr>
            <w:tcW w:w="2551" w:type="dxa"/>
            <w:vAlign w:val="center"/>
          </w:tcPr>
          <w:p>
            <w:pPr>
              <w:pStyle w:val="19"/>
            </w:pPr>
            <w:r>
              <w:t>改善</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经济效益指标</w:t>
            </w:r>
          </w:p>
        </w:tc>
        <w:tc>
          <w:tcPr>
            <w:tcW w:w="2835" w:type="dxa"/>
            <w:vAlign w:val="center"/>
          </w:tcPr>
          <w:p>
            <w:pPr>
              <w:pStyle w:val="19"/>
            </w:pPr>
            <w:r>
              <w:t>年收入增长情况</w:t>
            </w:r>
          </w:p>
        </w:tc>
        <w:tc>
          <w:tcPr>
            <w:tcW w:w="2835" w:type="dxa"/>
            <w:vAlign w:val="center"/>
          </w:tcPr>
          <w:p>
            <w:pPr>
              <w:pStyle w:val="19"/>
            </w:pPr>
            <w:r>
              <w:t>年收入增长情况</w:t>
            </w:r>
          </w:p>
        </w:tc>
        <w:tc>
          <w:tcPr>
            <w:tcW w:w="2551" w:type="dxa"/>
            <w:vAlign w:val="center"/>
          </w:tcPr>
          <w:p>
            <w:pPr>
              <w:pStyle w:val="19"/>
            </w:pPr>
            <w:r>
              <w:t>增长</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反映贫困户满意度</w:t>
            </w:r>
          </w:p>
        </w:tc>
        <w:tc>
          <w:tcPr>
            <w:tcW w:w="2835" w:type="dxa"/>
            <w:vAlign w:val="center"/>
          </w:tcPr>
          <w:p>
            <w:pPr>
              <w:pStyle w:val="19"/>
            </w:pPr>
            <w:r>
              <w:t>反映贫困户满意度</w:t>
            </w:r>
          </w:p>
        </w:tc>
        <w:tc>
          <w:tcPr>
            <w:tcW w:w="2551" w:type="dxa"/>
            <w:vAlign w:val="center"/>
          </w:tcPr>
          <w:p>
            <w:pPr>
              <w:pStyle w:val="19"/>
            </w:pPr>
            <w:r>
              <w:t>≥96%</w:t>
            </w:r>
          </w:p>
        </w:tc>
        <w:tc>
          <w:tcPr>
            <w:tcW w:w="2268" w:type="dxa"/>
            <w:vAlign w:val="center"/>
          </w:tcPr>
          <w:p>
            <w:pPr>
              <w:pStyle w:val="19"/>
            </w:pPr>
            <w:r>
              <w:t>调研</w:t>
            </w:r>
          </w:p>
        </w:tc>
      </w:tr>
    </w:tbl>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9、2023年乡镇武装部武装工作经费绩效目标表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1.用于基础民兵训练、武装部日常运转。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培训人员人次</w:t>
            </w:r>
          </w:p>
        </w:tc>
        <w:tc>
          <w:tcPr>
            <w:tcW w:w="2835" w:type="dxa"/>
            <w:vAlign w:val="center"/>
          </w:tcPr>
          <w:p>
            <w:pPr>
              <w:pStyle w:val="19"/>
            </w:pPr>
            <w:r>
              <w:t>培训人员人次</w:t>
            </w:r>
          </w:p>
        </w:tc>
        <w:tc>
          <w:tcPr>
            <w:tcW w:w="2551" w:type="dxa"/>
            <w:vAlign w:val="center"/>
          </w:tcPr>
          <w:p>
            <w:pPr>
              <w:pStyle w:val="19"/>
            </w:pPr>
            <w:r>
              <w:t>≥30次</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业务工作完成率（%）</w:t>
            </w:r>
          </w:p>
        </w:tc>
        <w:tc>
          <w:tcPr>
            <w:tcW w:w="2835" w:type="dxa"/>
            <w:vAlign w:val="center"/>
          </w:tcPr>
          <w:p>
            <w:pPr>
              <w:pStyle w:val="19"/>
            </w:pPr>
            <w:r>
              <w:t>业务工作完成率（%）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任务完成及时率</w:t>
            </w:r>
          </w:p>
        </w:tc>
        <w:tc>
          <w:tcPr>
            <w:tcW w:w="2835" w:type="dxa"/>
            <w:vAlign w:val="center"/>
          </w:tcPr>
          <w:p>
            <w:pPr>
              <w:pStyle w:val="19"/>
            </w:pPr>
            <w:r>
              <w:t>任务完成及时率</w:t>
            </w:r>
          </w:p>
        </w:tc>
        <w:tc>
          <w:tcPr>
            <w:tcW w:w="2551" w:type="dxa"/>
            <w:vAlign w:val="center"/>
          </w:tcPr>
          <w:p>
            <w:pPr>
              <w:pStyle w:val="19"/>
            </w:pPr>
            <w:r>
              <w:t>100%</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项目成本</w:t>
            </w:r>
          </w:p>
        </w:tc>
        <w:tc>
          <w:tcPr>
            <w:tcW w:w="2551" w:type="dxa"/>
            <w:vAlign w:val="center"/>
          </w:tcPr>
          <w:p>
            <w:pPr>
              <w:pStyle w:val="19"/>
            </w:pPr>
            <w:r>
              <w:t>3万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社会影响力</w:t>
            </w:r>
          </w:p>
        </w:tc>
        <w:tc>
          <w:tcPr>
            <w:tcW w:w="2551" w:type="dxa"/>
            <w:vAlign w:val="center"/>
          </w:tcPr>
          <w:p>
            <w:pPr>
              <w:pStyle w:val="19"/>
            </w:pPr>
            <w:r>
              <w:t>提升</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持续发挥作用期限</w:t>
            </w:r>
          </w:p>
        </w:tc>
        <w:tc>
          <w:tcPr>
            <w:tcW w:w="2835" w:type="dxa"/>
            <w:vAlign w:val="center"/>
          </w:tcPr>
          <w:p>
            <w:pPr>
              <w:pStyle w:val="19"/>
            </w:pPr>
            <w:r>
              <w:t>持续发挥作用期限</w:t>
            </w:r>
          </w:p>
        </w:tc>
        <w:tc>
          <w:tcPr>
            <w:tcW w:w="2551" w:type="dxa"/>
            <w:vAlign w:val="center"/>
          </w:tcPr>
          <w:p>
            <w:pPr>
              <w:pStyle w:val="19"/>
            </w:pPr>
            <w:r>
              <w:t>长期</w:t>
            </w:r>
          </w:p>
        </w:tc>
        <w:tc>
          <w:tcPr>
            <w:tcW w:w="2268"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受益群众满意度</w:t>
            </w:r>
          </w:p>
        </w:tc>
        <w:tc>
          <w:tcPr>
            <w:tcW w:w="2835" w:type="dxa"/>
            <w:vAlign w:val="center"/>
          </w:tcPr>
          <w:p>
            <w:pPr>
              <w:pStyle w:val="19"/>
            </w:pPr>
            <w:r>
              <w:t>受益群众满意度</w:t>
            </w:r>
          </w:p>
        </w:tc>
        <w:tc>
          <w:tcPr>
            <w:tcW w:w="2551" w:type="dxa"/>
            <w:vAlign w:val="center"/>
          </w:tcPr>
          <w:p>
            <w:pPr>
              <w:pStyle w:val="19"/>
            </w:pPr>
            <w:r>
              <w:t>≥98%</w:t>
            </w:r>
          </w:p>
        </w:tc>
        <w:tc>
          <w:tcPr>
            <w:tcW w:w="2268" w:type="dxa"/>
            <w:vAlign w:val="center"/>
          </w:tcPr>
          <w:p>
            <w:pPr>
              <w:pStyle w:val="19"/>
            </w:pPr>
            <w:r>
              <w:t>走访</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大城县北魏镇人民政府</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大城县北魏镇人民政府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129.58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本年度我部门</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购置固定资产</w:t>
      </w:r>
      <w:r>
        <w:rPr>
          <w:rFonts w:ascii="Times New Roman" w:hAnsi="Times New Roman" w:eastAsia="仿宋_GB2312" w:cs="Times New Roman"/>
          <w:sz w:val="32"/>
          <w:szCs w:val="32"/>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北魏镇人民政府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129.58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lang w:val="en-US" w:eastAsia="zh-CN"/>
              </w:rPr>
              <w:t>2670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lang w:val="en-US" w:eastAsia="zh-CN"/>
              </w:rPr>
              <w:t>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lang w:val="en-US" w:eastAsia="zh-CN"/>
              </w:rPr>
              <w:t>2670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lang w:val="en-US" w:eastAsia="zh-CN"/>
              </w:rPr>
              <w:t>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kern w:val="2"/>
                <w:sz w:val="22"/>
                <w:szCs w:val="22"/>
                <w:lang w:val="en-US" w:eastAsia="zh-CN" w:bidi="ar-SA"/>
              </w:rPr>
              <w:t>44.58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2"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roman"/>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ZTA2MmQyMjk2ZDMzNzhhMjc5MWY4M2E5NjY3Z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8776C5"/>
    <w:rsid w:val="13E306DA"/>
    <w:rsid w:val="1A1335C2"/>
    <w:rsid w:val="1B1D7A72"/>
    <w:rsid w:val="1B6E4190"/>
    <w:rsid w:val="1C502F39"/>
    <w:rsid w:val="225C4F18"/>
    <w:rsid w:val="38F17E51"/>
    <w:rsid w:val="3E0F78B9"/>
    <w:rsid w:val="3E8B454E"/>
    <w:rsid w:val="3F655022"/>
    <w:rsid w:val="55440103"/>
    <w:rsid w:val="57E040E2"/>
    <w:rsid w:val="5E7730E8"/>
    <w:rsid w:val="625E13B5"/>
    <w:rsid w:val="673B57FC"/>
    <w:rsid w:val="687D1153"/>
    <w:rsid w:val="6B1D22BB"/>
    <w:rsid w:val="6C2731BD"/>
    <w:rsid w:val="73E14102"/>
    <w:rsid w:val="76D16097"/>
    <w:rsid w:val="7963555C"/>
    <w:rsid w:val="7A2D4B29"/>
    <w:rsid w:val="7BB00165"/>
    <w:rsid w:val="7BBD51C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p0"/>
    <w:basedOn w:val="1"/>
    <w:qFormat/>
    <w:uiPriority w:val="0"/>
    <w:pPr>
      <w:widowControl/>
      <w:ind w:firstLine="420"/>
      <w:jc w:val="left"/>
    </w:pPr>
    <w:rPr>
      <w:kern w:val="0"/>
      <w:sz w:val="20"/>
      <w:szCs w:val="20"/>
    </w:rPr>
  </w:style>
  <w:style w:type="paragraph" w:customStyle="1" w:styleId="25">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6">
    <w:name w:val="Body Text"/>
    <w:basedOn w:val="1"/>
    <w:qFormat/>
    <w:uiPriority w:val="6"/>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9217</Words>
  <Characters>9562</Characters>
  <Lines>35</Lines>
  <Paragraphs>10</Paragraphs>
  <TotalTime>4</TotalTime>
  <ScaleCrop>false</ScaleCrop>
  <LinksUpToDate>false</LinksUpToDate>
  <CharactersWithSpaces>9740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2023-01-29T09:01:00Z</cp:lastPrinted>
  <dcterms:modified xsi:type="dcterms:W3CDTF">2024-06-21T15:59:51Z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E0DCD2FAFD4C4EC78104898D7A030BBD</vt:lpwstr>
  </property>
</Properties>
</file>